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rels" ContentType="application/vnd.openxmlformats-package.relationships+xml"/>
  <Override PartName="/word/diagrams/colors1.xml" ContentType="application/vnd.openxmlformats-officedocument.drawingml.diagramColor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B7" w:rsidRDefault="002D2AB7" w:rsidP="002D2AB7">
      <w:pPr>
        <w:pStyle w:val="Kop1"/>
        <w:jc w:val="center"/>
      </w:pPr>
      <w:r>
        <w:t xml:space="preserve">Hervorming </w:t>
      </w:r>
      <w:r w:rsidRPr="002D2AB7">
        <w:t>ziekenhuisfinanciering</w:t>
      </w:r>
    </w:p>
    <w:p w:rsidR="005A151A" w:rsidRDefault="002D2AB7" w:rsidP="002D2AB7">
      <w:pPr>
        <w:pStyle w:val="Ondertitel"/>
        <w:jc w:val="center"/>
      </w:pPr>
      <w:r>
        <w:t>Gezamenlijke visie ziekenhuiskoepels van België</w:t>
      </w:r>
    </w:p>
    <w:p w:rsidR="00527E2A" w:rsidRPr="00527E2A" w:rsidRDefault="00527E2A" w:rsidP="00527E2A">
      <w:pPr>
        <w:jc w:val="right"/>
        <w:rPr>
          <w:i/>
          <w:sz w:val="18"/>
        </w:rPr>
      </w:pPr>
      <w:r w:rsidRPr="00527E2A">
        <w:rPr>
          <w:i/>
          <w:sz w:val="18"/>
        </w:rPr>
        <w:t>April 2015</w:t>
      </w:r>
    </w:p>
    <w:p w:rsidR="00325EC2" w:rsidRDefault="00FA5342" w:rsidP="00325EC2">
      <w:r>
        <w:t>In het federaal r</w:t>
      </w:r>
      <w:r w:rsidR="00852A09">
        <w:t>egeerakkoord</w:t>
      </w:r>
      <w:r w:rsidR="0063671D">
        <w:t xml:space="preserve"> is een hervorming </w:t>
      </w:r>
      <w:r>
        <w:t>van de ziekenhuisfina</w:t>
      </w:r>
      <w:bookmarkStart w:id="0" w:name="_GoBack"/>
      <w:bookmarkEnd w:id="0"/>
      <w:r>
        <w:t xml:space="preserve">nciering </w:t>
      </w:r>
      <w:r w:rsidR="0063671D">
        <w:t xml:space="preserve">in het vooruitzicht gesteld. </w:t>
      </w:r>
      <w:r>
        <w:t>In dit kader gaven</w:t>
      </w:r>
      <w:r w:rsidR="0063671D">
        <w:t xml:space="preserve"> </w:t>
      </w:r>
      <w:r w:rsidR="000027B4">
        <w:t>verschillende actoren, waaronder ook ziekenhuiskoepels,</w:t>
      </w:r>
      <w:r w:rsidR="0063671D">
        <w:t xml:space="preserve"> hun visi</w:t>
      </w:r>
      <w:r>
        <w:t xml:space="preserve">e hieromtrent in het </w:t>
      </w:r>
      <w:r w:rsidR="0063671D">
        <w:t xml:space="preserve">verleden </w:t>
      </w:r>
      <w:r>
        <w:t xml:space="preserve">al te kennen. De </w:t>
      </w:r>
      <w:r w:rsidR="000027B4">
        <w:t>representatieve ziekenhuis</w:t>
      </w:r>
      <w:r>
        <w:t>koepels</w:t>
      </w:r>
      <w:r w:rsidR="0063671D">
        <w:t xml:space="preserve"> </w:t>
      </w:r>
      <w:r w:rsidR="000027B4">
        <w:t xml:space="preserve">van België </w:t>
      </w:r>
      <w:r w:rsidR="0063671D">
        <w:t xml:space="preserve">hebben </w:t>
      </w:r>
      <w:r>
        <w:t xml:space="preserve">nu ook </w:t>
      </w:r>
      <w:r w:rsidR="0063671D">
        <w:t xml:space="preserve">het initiatief genomen om </w:t>
      </w:r>
      <w:r w:rsidR="000027B4">
        <w:t>de gemeenschappelijke elementen</w:t>
      </w:r>
      <w:r w:rsidR="0063671D">
        <w:t xml:space="preserve"> op te </w:t>
      </w:r>
      <w:r>
        <w:t>lijsten.</w:t>
      </w:r>
    </w:p>
    <w:p w:rsidR="00325EC2" w:rsidRDefault="00325EC2" w:rsidP="00325EC2">
      <w:r>
        <w:t>Deze tekst heef</w:t>
      </w:r>
      <w:r w:rsidR="0063671D">
        <w:t>t</w:t>
      </w:r>
      <w:r>
        <w:t xml:space="preserve"> tot doel om de</w:t>
      </w:r>
      <w:r w:rsidR="0063671D">
        <w:t>ze</w:t>
      </w:r>
      <w:r>
        <w:t xml:space="preserve"> gezamenlijke visie te beschrijven. De manier waarop deze visie verder uitgewerkt kan worden, komt in een tweede fase aan de orde.</w:t>
      </w:r>
    </w:p>
    <w:p w:rsidR="00CD437F" w:rsidRDefault="00CD437F" w:rsidP="00325EC2"/>
    <w:p w:rsidR="00325EC2" w:rsidRPr="00CD437F" w:rsidRDefault="00CD437F">
      <w:pPr>
        <w:rPr>
          <w:rStyle w:val="Subtielebenadrukking"/>
        </w:rPr>
      </w:pPr>
      <w:r>
        <w:rPr>
          <w:rStyle w:val="Subtielebenadrukking"/>
        </w:rPr>
        <w:t>Organisatiemodel e</w:t>
      </w:r>
      <w:r w:rsidR="00325EC2" w:rsidRPr="00CD437F">
        <w:rPr>
          <w:rStyle w:val="Subtielebenadrukking"/>
        </w:rPr>
        <w:t xml:space="preserve">n </w:t>
      </w:r>
      <w:r>
        <w:rPr>
          <w:rStyle w:val="Subtielebenadrukking"/>
        </w:rPr>
        <w:t>bijhorende</w:t>
      </w:r>
      <w:r w:rsidR="00325EC2" w:rsidRPr="00CD437F">
        <w:rPr>
          <w:rStyle w:val="Subtielebenadrukking"/>
        </w:rPr>
        <w:t xml:space="preserve"> financiering</w:t>
      </w:r>
    </w:p>
    <w:p w:rsidR="003511E0" w:rsidRDefault="007F2B68">
      <w:r>
        <w:t>Modellen die decennialang toegepast werden</w:t>
      </w:r>
      <w:r w:rsidR="0063671D">
        <w:t>,</w:t>
      </w:r>
      <w:r>
        <w:t xml:space="preserve"> kraken in hun voegen. </w:t>
      </w:r>
      <w:r w:rsidR="00527E2A">
        <w:t>De gezondheidszorg in België is op een kantelpunt gekomen</w:t>
      </w:r>
      <w:r w:rsidR="00136393">
        <w:t xml:space="preserve">: </w:t>
      </w:r>
      <w:r w:rsidR="00CD6CBA">
        <w:t>het debat gaat niet meer over enkele aanpassingen in de marge, maar over fundamentele hervormingen</w:t>
      </w:r>
      <w:r w:rsidR="00527E2A">
        <w:t xml:space="preserve">. </w:t>
      </w:r>
      <w:r w:rsidR="00852A09">
        <w:t xml:space="preserve">De </w:t>
      </w:r>
      <w:r w:rsidR="00527E2A">
        <w:t xml:space="preserve">groep </w:t>
      </w:r>
      <w:r w:rsidR="00CD6CBA">
        <w:t xml:space="preserve">van ziekenhuiskoepels </w:t>
      </w:r>
      <w:r w:rsidR="00527E2A">
        <w:t xml:space="preserve">is </w:t>
      </w:r>
      <w:r w:rsidR="005B34A0">
        <w:t>er daarom van</w:t>
      </w:r>
      <w:r w:rsidR="00527E2A">
        <w:t xml:space="preserve"> overtuigd dat de</w:t>
      </w:r>
      <w:r w:rsidR="00852A09">
        <w:t xml:space="preserve"> hervorming zich niet louter kan en mag beperken tot </w:t>
      </w:r>
      <w:r w:rsidR="00527E2A">
        <w:t xml:space="preserve">een </w:t>
      </w:r>
      <w:r w:rsidR="00CD6CBA">
        <w:t>aanpassing</w:t>
      </w:r>
      <w:r w:rsidR="00527E2A">
        <w:t xml:space="preserve"> van de financiering</w:t>
      </w:r>
      <w:r w:rsidR="006E573C">
        <w:t xml:space="preserve"> van ziekenhuizen</w:t>
      </w:r>
      <w:r w:rsidR="00527E2A">
        <w:t xml:space="preserve">. </w:t>
      </w:r>
      <w:r w:rsidR="00CD437F">
        <w:t>E</w:t>
      </w:r>
      <w:r w:rsidR="00527E2A">
        <w:t xml:space="preserve">erst en vooral </w:t>
      </w:r>
      <w:r w:rsidR="00CD437F">
        <w:t xml:space="preserve">is er </w:t>
      </w:r>
      <w:r w:rsidR="00852A09" w:rsidRPr="00852A09">
        <w:t xml:space="preserve">nood aan </w:t>
      </w:r>
      <w:r w:rsidR="00527E2A">
        <w:t xml:space="preserve">een visie </w:t>
      </w:r>
      <w:r w:rsidR="005B34A0">
        <w:t xml:space="preserve">over </w:t>
      </w:r>
      <w:r w:rsidR="00852A09" w:rsidRPr="00852A09">
        <w:t>ons gezondheidszorgmodel</w:t>
      </w:r>
      <w:r>
        <w:t xml:space="preserve"> om de maatschappelijke noden en </w:t>
      </w:r>
      <w:r w:rsidRPr="003511E0">
        <w:t xml:space="preserve">verwachtingen een antwoord te kunnen </w:t>
      </w:r>
      <w:r w:rsidR="003511E0" w:rsidRPr="003511E0">
        <w:t xml:space="preserve">(blijven) </w:t>
      </w:r>
      <w:r w:rsidRPr="003511E0">
        <w:t>bieden</w:t>
      </w:r>
      <w:r w:rsidR="00527E2A" w:rsidRPr="003511E0">
        <w:t>.</w:t>
      </w:r>
      <w:r w:rsidR="0063671D" w:rsidRPr="003511E0">
        <w:t xml:space="preserve"> Dit dient te vertrekken vanuit gezondheidsdoelstellingen. Ziekenhuizen zijn </w:t>
      </w:r>
      <w:r w:rsidR="003511E0" w:rsidRPr="003511E0">
        <w:t xml:space="preserve">daarbij </w:t>
      </w:r>
      <w:r w:rsidR="0063671D" w:rsidRPr="003511E0">
        <w:t>geen geïsoleerde entiteiten, maar willen zich ook inschrijven in een samenwerkingsmodel met andere actoren.</w:t>
      </w:r>
      <w:r w:rsidR="003511E0">
        <w:t xml:space="preserve"> </w:t>
      </w:r>
      <w:r w:rsidR="003511E0" w:rsidRPr="003511E0">
        <w:t>Het ziekenhuis vormt een schakel in een ruimer geheel van zorgaanbieders. Ontschotting en transmurale zorgverlening zijn noodzakelijk om de gezondheidszorg veiliger, efficiënter en betaalbaarder te maken.</w:t>
      </w:r>
      <w:r w:rsidR="003511E0">
        <w:t xml:space="preserve"> De visie over het organisatiemodel </w:t>
      </w:r>
      <w:r w:rsidR="00F62C88">
        <w:t xml:space="preserve">moet vorm krijgen in </w:t>
      </w:r>
      <w:r w:rsidR="00F62C88" w:rsidRPr="00831D33">
        <w:t>een zorgstrategisch plan</w:t>
      </w:r>
      <w:r w:rsidR="003511E0" w:rsidRPr="00831D33">
        <w:t>.</w:t>
      </w:r>
    </w:p>
    <w:p w:rsidR="00852A09" w:rsidRDefault="00527E2A">
      <w:r>
        <w:t xml:space="preserve">Een </w:t>
      </w:r>
      <w:r w:rsidR="00103E40">
        <w:t xml:space="preserve">aangepast </w:t>
      </w:r>
      <w:r>
        <w:t xml:space="preserve">financieringsmodel moet </w:t>
      </w:r>
      <w:r w:rsidR="00103E40">
        <w:t xml:space="preserve">vervolgens </w:t>
      </w:r>
      <w:r w:rsidR="005B34A0">
        <w:t>de juiste stimulansen in zich dragen om dit</w:t>
      </w:r>
      <w:r>
        <w:t xml:space="preserve"> toekomstig zorgmodel </w:t>
      </w:r>
      <w:r w:rsidR="005B34A0">
        <w:t xml:space="preserve">mee te realiseren. </w:t>
      </w:r>
      <w:r w:rsidR="00325EC2">
        <w:t xml:space="preserve">Een nieuwe financiering mag dus geen rem zijn op de uitwerking van </w:t>
      </w:r>
      <w:r w:rsidR="00CD437F">
        <w:t>een zorgstrategisch plan,</w:t>
      </w:r>
      <w:r w:rsidR="00136393">
        <w:t xml:space="preserve"> op</w:t>
      </w:r>
      <w:r w:rsidR="00CD437F">
        <w:t xml:space="preserve">dat het initiatief van de actoren – binnen de contouren van het zorgstrategisch plan – niet gefnuikt wordt. </w:t>
      </w:r>
    </w:p>
    <w:p w:rsidR="00AA3F14" w:rsidRDefault="00325EC2" w:rsidP="00AA3F14">
      <w:r>
        <w:t xml:space="preserve">We willen </w:t>
      </w:r>
      <w:r w:rsidR="00AA3F14">
        <w:t>op korte termijn werk maken van de</w:t>
      </w:r>
      <w:r>
        <w:t xml:space="preserve"> hervorming: </w:t>
      </w:r>
      <w:r w:rsidR="00AA3F14">
        <w:t>we beogen een akkoord met duidelijke objectieven ten laatste tegen 2017. Dit moet toelaten om</w:t>
      </w:r>
      <w:r>
        <w:t xml:space="preserve"> </w:t>
      </w:r>
      <w:r w:rsidR="00AA3F14">
        <w:t xml:space="preserve">deze legislatuur met de </w:t>
      </w:r>
      <w:r>
        <w:t xml:space="preserve">eerste implementaties </w:t>
      </w:r>
      <w:r w:rsidR="00AA3F14">
        <w:t xml:space="preserve">te </w:t>
      </w:r>
      <w:r>
        <w:t>starten.</w:t>
      </w:r>
    </w:p>
    <w:p w:rsidR="00F10C6D" w:rsidRDefault="00F10C6D">
      <w:pPr>
        <w:rPr>
          <w:rStyle w:val="Subtielebenadrukking"/>
        </w:rPr>
      </w:pPr>
      <w:r>
        <w:rPr>
          <w:rStyle w:val="Subtielebenadrukking"/>
        </w:rPr>
        <w:br w:type="page"/>
      </w:r>
    </w:p>
    <w:p w:rsidR="005C410D" w:rsidRPr="005C410D" w:rsidRDefault="005C410D" w:rsidP="005C410D">
      <w:pPr>
        <w:rPr>
          <w:rStyle w:val="Subtielebenadrukking"/>
        </w:rPr>
      </w:pPr>
      <w:r w:rsidRPr="005C410D">
        <w:rPr>
          <w:rStyle w:val="Subtielebenadrukking"/>
        </w:rPr>
        <w:lastRenderedPageBreak/>
        <w:t>Scope</w:t>
      </w:r>
    </w:p>
    <w:p w:rsidR="0063671D" w:rsidRDefault="0063671D" w:rsidP="00AA3F14">
      <w:r>
        <w:t>Nade</w:t>
      </w:r>
      <w:r w:rsidR="00836191">
        <w:t>n</w:t>
      </w:r>
      <w:r>
        <w:t xml:space="preserve">ken over </w:t>
      </w:r>
      <w:r w:rsidR="00836191">
        <w:t xml:space="preserve">de </w:t>
      </w:r>
      <w:r>
        <w:t xml:space="preserve">rol van ziekenhuizen </w:t>
      </w:r>
      <w:r w:rsidR="003511E0">
        <w:t>houdt</w:t>
      </w:r>
      <w:r>
        <w:t xml:space="preserve"> niet alleen </w:t>
      </w:r>
      <w:r w:rsidR="0068097A">
        <w:t>de acute zorg in</w:t>
      </w:r>
      <w:r w:rsidR="003511E0">
        <w:t xml:space="preserve">, </w:t>
      </w:r>
      <w:r>
        <w:t xml:space="preserve">maar </w:t>
      </w:r>
      <w:r w:rsidR="003511E0">
        <w:t xml:space="preserve">moet </w:t>
      </w:r>
      <w:r>
        <w:t>ook de revalidatiezorg meenemen.</w:t>
      </w:r>
      <w:r w:rsidR="003511E0" w:rsidRPr="003511E0">
        <w:t xml:space="preserve"> </w:t>
      </w:r>
      <w:r w:rsidR="003511E0">
        <w:t xml:space="preserve">Het beleid rond de organisatie van revalidatie </w:t>
      </w:r>
      <w:r w:rsidR="009A1F58">
        <w:t xml:space="preserve">moet in zijn geheel uitgewerkt worden. Wat is bijvoorbeeld “verantwoorde” revalidatie, welke revalidatie moet minimaal in elk ziekenhuis aangeboden worden, …? Voor wat betreft deze hervorming focussen we momenteel op het acute gedeelte binnen de revalidatie, als onderdeel van het continuüm van specialistische zorg in het </w:t>
      </w:r>
      <w:r w:rsidR="00831D33">
        <w:t xml:space="preserve">algemeen </w:t>
      </w:r>
      <w:r w:rsidR="009A1F58">
        <w:t>ziekenhuis.</w:t>
      </w:r>
    </w:p>
    <w:p w:rsidR="009A1F58" w:rsidRDefault="005C410D" w:rsidP="00AA3F14">
      <w:r>
        <w:t xml:space="preserve">Ook in de geestelijke gezondheidszorg dringt een hervorming van het organisatiemodel </w:t>
      </w:r>
      <w:r w:rsidR="009A1F58">
        <w:t xml:space="preserve">en </w:t>
      </w:r>
      <w:r w:rsidR="0068097A">
        <w:t xml:space="preserve">een </w:t>
      </w:r>
      <w:r w:rsidR="009A1F58">
        <w:t xml:space="preserve">aangepaste financiering </w:t>
      </w:r>
      <w:r>
        <w:t xml:space="preserve">zich op. Ziekenhuizen, ook algemene, maken hier deel van uit. Dit </w:t>
      </w:r>
      <w:r w:rsidR="00CD6CBA">
        <w:t>is</w:t>
      </w:r>
      <w:r>
        <w:t xml:space="preserve"> echter onderwerp van een ander debat, zonder het volledig </w:t>
      </w:r>
      <w:r w:rsidR="00CD6CBA">
        <w:t>te willen scheiden van</w:t>
      </w:r>
      <w:r>
        <w:t xml:space="preserve"> de somatische zorg. </w:t>
      </w:r>
    </w:p>
    <w:p w:rsidR="00094463" w:rsidRDefault="006D26A9" w:rsidP="00AA3F14">
      <w:r>
        <w:t xml:space="preserve">Gegeven de rol van het ziekenhuis in de geestelijke gezondheidszorg en in revalidatie </w:t>
      </w:r>
      <w:r w:rsidR="00554172">
        <w:t>moeten beide domeinen zeker meegenomen worden in de uiteindelijke uitwerking van een zorgstrategisch plan</w:t>
      </w:r>
      <w:r>
        <w:t>.</w:t>
      </w:r>
    </w:p>
    <w:p w:rsidR="00F10C6D" w:rsidRDefault="00F10C6D" w:rsidP="00AA3F14"/>
    <w:p w:rsidR="00AA3F14" w:rsidRPr="007837A1" w:rsidRDefault="007837A1" w:rsidP="00AA3F14">
      <w:pPr>
        <w:rPr>
          <w:rStyle w:val="Subtielebenadrukking"/>
        </w:rPr>
      </w:pPr>
      <w:r>
        <w:rPr>
          <w:rStyle w:val="Subtielebenadrukking"/>
        </w:rPr>
        <w:t>Visie</w:t>
      </w:r>
    </w:p>
    <w:p w:rsidR="00527E2A" w:rsidRDefault="00AA3F14">
      <w:r>
        <w:t xml:space="preserve">Onze visie </w:t>
      </w:r>
      <w:r w:rsidR="003511E0">
        <w:t>richt zich</w:t>
      </w:r>
      <w:r>
        <w:t xml:space="preserve"> </w:t>
      </w:r>
      <w:r w:rsidR="000027B4">
        <w:t>op drie</w:t>
      </w:r>
      <w:r w:rsidRPr="003511E0">
        <w:t xml:space="preserve"> </w:t>
      </w:r>
      <w:r w:rsidR="00EF337C" w:rsidRPr="003511E0">
        <w:t>werven</w:t>
      </w:r>
      <w:r w:rsidRPr="003511E0">
        <w:t xml:space="preserve">. De </w:t>
      </w:r>
      <w:r w:rsidR="000027B4">
        <w:t>groep benadrukt dat deze alle drie</w:t>
      </w:r>
      <w:r w:rsidR="00126C82">
        <w:t xml:space="preserve"> </w:t>
      </w:r>
      <w:r w:rsidR="003511E0">
        <w:t>van belang zijn</w:t>
      </w:r>
      <w:r>
        <w:t>.</w:t>
      </w:r>
    </w:p>
    <w:p w:rsidR="00A2271C" w:rsidRDefault="00A2271C" w:rsidP="00EF337C">
      <w:pPr>
        <w:jc w:val="center"/>
      </w:pPr>
      <w:r>
        <w:rPr>
          <w:noProof/>
          <w:lang w:eastAsia="nl-BE"/>
        </w:rPr>
        <w:drawing>
          <wp:inline distT="0" distB="0" distL="0" distR="0" wp14:anchorId="5EABA669" wp14:editId="7A1BE2DB">
            <wp:extent cx="3705308" cy="1542553"/>
            <wp:effectExtent l="0" t="19050" r="0" b="9588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10C6D" w:rsidRDefault="00F10C6D" w:rsidP="00EF337C">
      <w:pPr>
        <w:jc w:val="center"/>
      </w:pPr>
    </w:p>
    <w:p w:rsidR="00A2271C" w:rsidRPr="007837A1" w:rsidRDefault="003702D0" w:rsidP="003702D0">
      <w:pPr>
        <w:pStyle w:val="Lijstalinea"/>
        <w:numPr>
          <w:ilvl w:val="0"/>
          <w:numId w:val="1"/>
        </w:numPr>
        <w:rPr>
          <w:rStyle w:val="Intensievebenadrukking"/>
        </w:rPr>
      </w:pPr>
      <w:r w:rsidRPr="007837A1">
        <w:rPr>
          <w:rStyle w:val="Intensievebenadrukking"/>
        </w:rPr>
        <w:t>Ziekenhuislandschap</w:t>
      </w:r>
    </w:p>
    <w:p w:rsidR="00834D95" w:rsidRDefault="00A24ED2" w:rsidP="00834D95">
      <w:r>
        <w:t xml:space="preserve">We willen evolueren naar echte taakherschikking en functiedifferentiatie </w:t>
      </w:r>
      <w:r w:rsidR="00CD6CBA">
        <w:t>tussen ziekenhuizen</w:t>
      </w:r>
      <w:r w:rsidR="009A1F58">
        <w:t>, afgestemd op de noden van bevolking</w:t>
      </w:r>
      <w:r w:rsidR="00CD6CBA">
        <w:t>.</w:t>
      </w:r>
      <w:r w:rsidR="00126C82">
        <w:t xml:space="preserve"> De uitwerking van een </w:t>
      </w:r>
      <w:r w:rsidR="00126C82" w:rsidRPr="00F45F53">
        <w:rPr>
          <w:b/>
        </w:rPr>
        <w:t>zorgstrategisch plan</w:t>
      </w:r>
      <w:r w:rsidR="00126C82">
        <w:t>, waarin elke Gemeenschap eigen accenten kan leggen</w:t>
      </w:r>
      <w:r w:rsidR="00F45F53">
        <w:t>,</w:t>
      </w:r>
      <w:r w:rsidR="00126C82">
        <w:t xml:space="preserve"> is daarbij essentieel. </w:t>
      </w:r>
      <w:r w:rsidR="009A1F58">
        <w:t xml:space="preserve">Het </w:t>
      </w:r>
      <w:r w:rsidR="00836191">
        <w:t xml:space="preserve">kan </w:t>
      </w:r>
      <w:r w:rsidR="00126C82">
        <w:t>de uitbouw van een complementair aanbod binnen een netwerk</w:t>
      </w:r>
      <w:r w:rsidR="00836191">
        <w:t xml:space="preserve"> omvatten</w:t>
      </w:r>
      <w:r w:rsidR="00126C82">
        <w:t xml:space="preserve">, in het bijzonder </w:t>
      </w:r>
      <w:r w:rsidR="009A1F58">
        <w:t>voor (sub)specialistische zorg</w:t>
      </w:r>
      <w:r w:rsidR="00834D95">
        <w:t>. Het kan ook gaan om de concentratie van dure of zeldzame zorgprogramma’s, waarin ook niet-academische excellentiecentra hun plaats hebben.</w:t>
      </w:r>
    </w:p>
    <w:p w:rsidR="00F45F53" w:rsidRDefault="00F45F53" w:rsidP="00F45F53">
      <w:r>
        <w:t xml:space="preserve">Het is noodzakelijk dat de overheid in samenwerking met de betrokken actoren, i.e. ziekenhuizen en ziekenhuisartsen, zo’n (voortschrijdend) zorgstrategisch meerjarenplan uitwerkt voor minimum tien jaar, gekoppeld aan een regelmatige evaluatie en bijsturing. </w:t>
      </w:r>
      <w:r w:rsidR="006A0C6A">
        <w:t xml:space="preserve">Hieruit blijkt ook dat er meer dan ooit ook samenwerking nodig is tussen de verschillende overheden. Een hervorming van de </w:t>
      </w:r>
      <w:r w:rsidR="00831D33">
        <w:t xml:space="preserve">ziekenhuizen </w:t>
      </w:r>
      <w:r w:rsidR="006A0C6A">
        <w:t>kan en mag zich niet beperken tot het federale niveau.</w:t>
      </w:r>
    </w:p>
    <w:p w:rsidR="00836191" w:rsidRDefault="000F5D11" w:rsidP="00EF337C">
      <w:r>
        <w:lastRenderedPageBreak/>
        <w:t xml:space="preserve">Zorg dient op de “juiste plaats” aangeboden te worden. </w:t>
      </w:r>
      <w:r w:rsidR="00A54712">
        <w:t>D</w:t>
      </w:r>
      <w:r w:rsidR="00836191">
        <w:t>it bet</w:t>
      </w:r>
      <w:r w:rsidR="00A54712">
        <w:t>ekent het aanbieden van een zorgcontinuüm en een</w:t>
      </w:r>
      <w:r w:rsidR="00836191">
        <w:t xml:space="preserve"> </w:t>
      </w:r>
      <w:r w:rsidR="00A54712">
        <w:t>aan</w:t>
      </w:r>
      <w:r w:rsidR="00836191">
        <w:t xml:space="preserve">gepaste omkadering </w:t>
      </w:r>
      <w:r w:rsidR="00A54712">
        <w:t>i.f.v.</w:t>
      </w:r>
      <w:r w:rsidR="00836191">
        <w:t xml:space="preserve"> </w:t>
      </w:r>
      <w:r w:rsidR="006A0C6A">
        <w:t>de noden van de patiënt.</w:t>
      </w:r>
      <w:r w:rsidR="00836191">
        <w:t xml:space="preserve"> </w:t>
      </w:r>
      <w:r w:rsidR="00A54712">
        <w:t>E</w:t>
      </w:r>
      <w:r w:rsidR="00836191">
        <w:t>ventuele afbouw van</w:t>
      </w:r>
      <w:r w:rsidR="00A54712">
        <w:t xml:space="preserve"> activiteit in het ziekenhuis, reconversie en</w:t>
      </w:r>
      <w:r w:rsidR="00836191">
        <w:t xml:space="preserve"> inzet van gespec</w:t>
      </w:r>
      <w:r w:rsidR="00A54712">
        <w:t>ialiseerde</w:t>
      </w:r>
      <w:r w:rsidR="00836191">
        <w:t xml:space="preserve"> diensten in een thuissetting </w:t>
      </w:r>
      <w:r w:rsidR="00831D33">
        <w:t xml:space="preserve">of in alternatieve opvangvormen </w:t>
      </w:r>
      <w:r w:rsidR="00A54712">
        <w:t>kaderen hierin</w:t>
      </w:r>
      <w:r w:rsidR="00836191">
        <w:t>.</w:t>
      </w:r>
    </w:p>
    <w:p w:rsidR="000F5D11" w:rsidRPr="000F5D11" w:rsidRDefault="000F5D11" w:rsidP="00EF337C">
      <w:pPr>
        <w:rPr>
          <w:color w:val="FF0000"/>
        </w:rPr>
      </w:pPr>
    </w:p>
    <w:p w:rsidR="003702D0" w:rsidRPr="007837A1" w:rsidRDefault="003702D0" w:rsidP="003702D0">
      <w:pPr>
        <w:pStyle w:val="Lijstalinea"/>
        <w:numPr>
          <w:ilvl w:val="0"/>
          <w:numId w:val="1"/>
        </w:numPr>
        <w:rPr>
          <w:rStyle w:val="Intensievebenadrukking"/>
        </w:rPr>
      </w:pPr>
      <w:r w:rsidRPr="007837A1">
        <w:rPr>
          <w:rStyle w:val="Intensievebenadrukking"/>
        </w:rPr>
        <w:t>Participatief model</w:t>
      </w:r>
    </w:p>
    <w:p w:rsidR="003F4596" w:rsidRDefault="003F4596" w:rsidP="003F4596">
      <w:r>
        <w:t>Een hervorming van het organisatie- en financieringsmodel heeft ook een impact op het governance model, en dit op verschillende niveaus.</w:t>
      </w:r>
    </w:p>
    <w:p w:rsidR="00F10C6D" w:rsidRDefault="00F10C6D" w:rsidP="003F4596"/>
    <w:p w:rsidR="00A24ED2" w:rsidRPr="00A24ED2" w:rsidRDefault="00A24ED2" w:rsidP="003F4596">
      <w:pPr>
        <w:rPr>
          <w:rStyle w:val="Subtielebenadrukking"/>
        </w:rPr>
      </w:pPr>
      <w:r>
        <w:rPr>
          <w:rStyle w:val="Subtielebenadrukking"/>
        </w:rPr>
        <w:t>Micro</w:t>
      </w:r>
    </w:p>
    <w:p w:rsidR="003F4596" w:rsidRDefault="003F4596" w:rsidP="003F4596">
      <w:r>
        <w:t xml:space="preserve">Laat ons in </w:t>
      </w:r>
      <w:r w:rsidR="00D062A8">
        <w:t xml:space="preserve">de </w:t>
      </w:r>
      <w:r>
        <w:t xml:space="preserve">eerste </w:t>
      </w:r>
      <w:r w:rsidR="00D062A8">
        <w:t>plaats</w:t>
      </w:r>
      <w:r>
        <w:t xml:space="preserve"> focussen op de </w:t>
      </w:r>
      <w:proofErr w:type="spellStart"/>
      <w:r>
        <w:t>core</w:t>
      </w:r>
      <w:proofErr w:type="spellEnd"/>
      <w:r>
        <w:t xml:space="preserve"> business van de ziekenhuizen: de </w:t>
      </w:r>
      <w:r w:rsidR="00282789">
        <w:t xml:space="preserve">specialistische </w:t>
      </w:r>
      <w:r w:rsidR="00656439">
        <w:t>zorg</w:t>
      </w:r>
      <w:r w:rsidR="00282789">
        <w:t xml:space="preserve"> van </w:t>
      </w:r>
      <w:r>
        <w:t>patiënt</w:t>
      </w:r>
      <w:r w:rsidR="00282789">
        <w:t>en</w:t>
      </w:r>
      <w:r>
        <w:t>.</w:t>
      </w:r>
      <w:r w:rsidR="00282789">
        <w:t xml:space="preserve"> Hierin zijn de artsen een onontbeerlijke partner. </w:t>
      </w:r>
      <w:r w:rsidR="00656439">
        <w:t xml:space="preserve">De </w:t>
      </w:r>
      <w:r w:rsidR="00811F13">
        <w:t>continuïteit</w:t>
      </w:r>
      <w:r w:rsidR="00D062A8">
        <w:t xml:space="preserve"> -</w:t>
      </w:r>
      <w:r w:rsidR="00656439">
        <w:t xml:space="preserve"> in het bij</w:t>
      </w:r>
      <w:r w:rsidR="00D062A8">
        <w:t xml:space="preserve">zonder de medische permanentie - en toegankelijkheid </w:t>
      </w:r>
      <w:r w:rsidR="00656439">
        <w:t>moet</w:t>
      </w:r>
      <w:r w:rsidR="007837A1">
        <w:t>en</w:t>
      </w:r>
      <w:r w:rsidR="00656439">
        <w:t xml:space="preserve"> gewaarborgd blijven. </w:t>
      </w:r>
      <w:r w:rsidR="00413310">
        <w:t>De hervorming binnen de ziekenhuizen moet daarom voor de arts minstens even aantrekkelijk zijn als die van de ambulante activiteit, i</w:t>
      </w:r>
      <w:r w:rsidR="00C87F83">
        <w:t xml:space="preserve">n het bijzonder op financieel </w:t>
      </w:r>
      <w:r w:rsidR="00413310">
        <w:t>vlak</w:t>
      </w:r>
      <w:r w:rsidR="00C87F83">
        <w:t xml:space="preserve">. </w:t>
      </w:r>
      <w:r w:rsidR="00811F13">
        <w:t xml:space="preserve">Meer nog, specialisten moeten juist gestimuleerd worden om </w:t>
      </w:r>
      <w:r w:rsidR="00D062A8">
        <w:t xml:space="preserve">zich aan een ziekenhuis </w:t>
      </w:r>
      <w:r w:rsidR="00D062A8" w:rsidRPr="008839E8">
        <w:t>te binden</w:t>
      </w:r>
      <w:r w:rsidR="00811F13" w:rsidRPr="008839E8">
        <w:t xml:space="preserve"> </w:t>
      </w:r>
      <w:r w:rsidR="00811F13">
        <w:t xml:space="preserve">en </w:t>
      </w:r>
      <w:r w:rsidR="00D062A8">
        <w:t xml:space="preserve">moeten </w:t>
      </w:r>
      <w:r w:rsidR="00811F13">
        <w:t>daarvoor ook correct vergoed worden. Zij zorgen voor permanentie</w:t>
      </w:r>
      <w:r w:rsidR="000027B4">
        <w:t xml:space="preserve"> 24u op 24</w:t>
      </w:r>
      <w:r w:rsidR="00C87F83">
        <w:t xml:space="preserve"> en</w:t>
      </w:r>
      <w:r w:rsidR="00811F13">
        <w:t xml:space="preserve"> moeten voldoen aan kwaliteitsvereisten en –controle.</w:t>
      </w:r>
    </w:p>
    <w:p w:rsidR="00440BBF" w:rsidRDefault="00E345EB" w:rsidP="00E345EB">
      <w:r>
        <w:t>O</w:t>
      </w:r>
      <w:r w:rsidRPr="00E345EB">
        <w:t xml:space="preserve">m </w:t>
      </w:r>
      <w:r w:rsidRPr="00E345EB">
        <w:rPr>
          <w:b/>
          <w:bCs/>
        </w:rPr>
        <w:t>samen</w:t>
      </w:r>
      <w:r w:rsidRPr="00E345EB">
        <w:t xml:space="preserve"> </w:t>
      </w:r>
      <w:r>
        <w:t xml:space="preserve">de </w:t>
      </w:r>
      <w:r w:rsidRPr="00E345EB">
        <w:t>continuïteit te vrijwaren</w:t>
      </w:r>
      <w:r w:rsidR="008839E8">
        <w:t>,</w:t>
      </w:r>
      <w:r w:rsidRPr="00E345EB">
        <w:t xml:space="preserve"> </w:t>
      </w:r>
      <w:r>
        <w:t xml:space="preserve">moeten er </w:t>
      </w:r>
      <w:r w:rsidR="008839E8">
        <w:t xml:space="preserve">ook </w:t>
      </w:r>
      <w:r>
        <w:t>incentives uitgewerkt worden om a</w:t>
      </w:r>
      <w:r w:rsidRPr="00E345EB">
        <w:t xml:space="preserve">rtsen en ziekenhuizen beter op 1 lijn </w:t>
      </w:r>
      <w:r>
        <w:t xml:space="preserve">krijgen. Inspraak en participatie van artsen in de strategische uitbouw van het ziekenhuis op medisch gebied </w:t>
      </w:r>
      <w:r w:rsidR="008839E8">
        <w:t>zijn</w:t>
      </w:r>
      <w:r>
        <w:t xml:space="preserve"> daarbij essentieel. </w:t>
      </w:r>
    </w:p>
    <w:p w:rsidR="00F10C6D" w:rsidRPr="00E345EB" w:rsidRDefault="00F10C6D" w:rsidP="00E345EB"/>
    <w:p w:rsidR="00A24ED2" w:rsidRPr="00A24ED2" w:rsidRDefault="00A24ED2" w:rsidP="003F4596">
      <w:pPr>
        <w:rPr>
          <w:rStyle w:val="Subtielebenadrukking"/>
        </w:rPr>
      </w:pPr>
      <w:proofErr w:type="spellStart"/>
      <w:r w:rsidRPr="00A24ED2">
        <w:rPr>
          <w:rStyle w:val="Subtielebenadrukking"/>
        </w:rPr>
        <w:t>Meso</w:t>
      </w:r>
      <w:proofErr w:type="spellEnd"/>
    </w:p>
    <w:p w:rsidR="00A24ED2" w:rsidRDefault="00B577A0" w:rsidP="003F4596">
      <w:r>
        <w:t xml:space="preserve">Het zorgstrategisch plan </w:t>
      </w:r>
      <w:r w:rsidR="000027B4">
        <w:t>bepaalt</w:t>
      </w:r>
      <w:r>
        <w:t xml:space="preserve"> de randvoorwaarden waarbinnen netwerken tot stand komen. </w:t>
      </w:r>
      <w:r w:rsidR="009E0E6B">
        <w:t xml:space="preserve">Ziekenhuizen zijn schakels in </w:t>
      </w:r>
      <w:r w:rsidR="000027B4">
        <w:t>netwerken rond de patiënt</w:t>
      </w:r>
      <w:r w:rsidR="009E0E6B">
        <w:t xml:space="preserve">. Dit kunnen zowel </w:t>
      </w:r>
      <w:r w:rsidR="000027B4">
        <w:t xml:space="preserve">klinische </w:t>
      </w:r>
      <w:r w:rsidR="009E0E6B">
        <w:t xml:space="preserve">netwerken zijn tussen ziekenhuizen als </w:t>
      </w:r>
      <w:r w:rsidR="000027B4">
        <w:t xml:space="preserve">regionale netwerken </w:t>
      </w:r>
      <w:r w:rsidR="009E0E6B">
        <w:t xml:space="preserve">tussen ziekenhuizen en andere zorgaanbieders. Aan een netwerk kunnen ook erkenningen en </w:t>
      </w:r>
      <w:proofErr w:type="spellStart"/>
      <w:r w:rsidR="009E0E6B">
        <w:t>budgetten</w:t>
      </w:r>
      <w:proofErr w:type="spellEnd"/>
      <w:r w:rsidR="009E0E6B">
        <w:t xml:space="preserve"> toegekend worden.</w:t>
      </w:r>
      <w:r w:rsidR="00145AC8">
        <w:t xml:space="preserve"> De financiering is dus niet per se gebonden aan een ziekenhuis. </w:t>
      </w:r>
    </w:p>
    <w:p w:rsidR="00F10C6D" w:rsidRDefault="00F10C6D" w:rsidP="003F4596"/>
    <w:p w:rsidR="00811F13" w:rsidRPr="00A24ED2" w:rsidRDefault="00A24ED2" w:rsidP="003F4596">
      <w:pPr>
        <w:rPr>
          <w:rStyle w:val="Subtielebenadrukking"/>
        </w:rPr>
      </w:pPr>
      <w:r w:rsidRPr="00A24ED2">
        <w:rPr>
          <w:rStyle w:val="Subtielebenadrukking"/>
        </w:rPr>
        <w:t>Macro</w:t>
      </w:r>
    </w:p>
    <w:p w:rsidR="00A24ED2" w:rsidRDefault="00F81125" w:rsidP="00F81125">
      <w:r>
        <w:t xml:space="preserve">Zoals het regeerakkoord stipuleert komen de administratie en het beheer van de financiering van de ziekenhuizen (momenteel bij de FOD Volksgezondheid en het RIZIV) onder één enkele administratie terecht. We raden tevens aan </w:t>
      </w:r>
      <w:r w:rsidR="0086094C">
        <w:t xml:space="preserve">om </w:t>
      </w:r>
      <w:r>
        <w:t xml:space="preserve">de verschillende bestaande adviesorganen te </w:t>
      </w:r>
      <w:r w:rsidR="00C87F83">
        <w:t xml:space="preserve">verbinden en de verschillende financieringsbronnen te </w:t>
      </w:r>
      <w:r w:rsidR="0086094C">
        <w:t>vereenvoudigen</w:t>
      </w:r>
      <w:r>
        <w:t>. De sector zal hierdoor oo</w:t>
      </w:r>
      <w:r w:rsidR="0086094C">
        <w:t xml:space="preserve">k op macroniveau efficiënter </w:t>
      </w:r>
      <w:r>
        <w:t>werken.</w:t>
      </w:r>
    </w:p>
    <w:p w:rsidR="003F4596" w:rsidRDefault="003F4596" w:rsidP="003F4596"/>
    <w:p w:rsidR="003702D0" w:rsidRPr="00883640" w:rsidRDefault="003702D0" w:rsidP="003702D0">
      <w:pPr>
        <w:pStyle w:val="Lijstalinea"/>
        <w:numPr>
          <w:ilvl w:val="0"/>
          <w:numId w:val="1"/>
        </w:numPr>
        <w:rPr>
          <w:rStyle w:val="Intensievebenadrukking"/>
        </w:rPr>
      </w:pPr>
      <w:r w:rsidRPr="00883640">
        <w:rPr>
          <w:rStyle w:val="Intensievebenadrukking"/>
        </w:rPr>
        <w:lastRenderedPageBreak/>
        <w:t>Financiering</w:t>
      </w:r>
    </w:p>
    <w:p w:rsidR="00836191" w:rsidRDefault="00836191" w:rsidP="00836191">
      <w:r>
        <w:t xml:space="preserve">Aan de ziekenhuizen kunnen </w:t>
      </w:r>
      <w:r w:rsidRPr="00883640">
        <w:t>geen bijkomende kosten</w:t>
      </w:r>
      <w:r>
        <w:t xml:space="preserve"> opgelegd worden zonder dat zij hierbij betrokken </w:t>
      </w:r>
      <w:r w:rsidR="008839E8">
        <w:t>worden</w:t>
      </w:r>
      <w:r>
        <w:t xml:space="preserve"> en de nodige middelen – van bij het begin – voorzien worden. We eisen een </w:t>
      </w:r>
      <w:r w:rsidRPr="00836191">
        <w:rPr>
          <w:b/>
        </w:rPr>
        <w:t xml:space="preserve">correcte financiering </w:t>
      </w:r>
      <w:r w:rsidR="00FA7E7C">
        <w:t>op basis van reële kosten</w:t>
      </w:r>
      <w:r>
        <w:t xml:space="preserve">. Daartoe dient het bestaande onevenwicht tussen een beperkt deel overbetaalde en een aanzienlijk deel onderbetaalde activiteiten simultaan te worden weggewerkt, zowel voor ziekenhuizen als voor artsen. </w:t>
      </w:r>
    </w:p>
    <w:p w:rsidR="00836191" w:rsidRDefault="00836191" w:rsidP="00836191">
      <w:r>
        <w:t xml:space="preserve">De financiering moet ook </w:t>
      </w:r>
      <w:r w:rsidRPr="000027B4">
        <w:rPr>
          <w:b/>
        </w:rPr>
        <w:t>kwaliteit</w:t>
      </w:r>
      <w:r>
        <w:t xml:space="preserve"> belonen en bevorderen en niet louter rekening houden met uitgevoerde aktes. De effectiviteit kan via </w:t>
      </w:r>
      <w:proofErr w:type="spellStart"/>
      <w:r>
        <w:t>evidence</w:t>
      </w:r>
      <w:proofErr w:type="spellEnd"/>
      <w:r>
        <w:t xml:space="preserve"> </w:t>
      </w:r>
      <w:proofErr w:type="spellStart"/>
      <w:r>
        <w:t>based</w:t>
      </w:r>
      <w:proofErr w:type="spellEnd"/>
      <w:r>
        <w:t xml:space="preserve"> </w:t>
      </w:r>
      <w:proofErr w:type="spellStart"/>
      <w:r>
        <w:t>medicine</w:t>
      </w:r>
      <w:proofErr w:type="spellEnd"/>
      <w:r w:rsidR="00FA7E7C">
        <w:t>, daar waar mogelijk,</w:t>
      </w:r>
      <w:r>
        <w:t xml:space="preserve"> verhoogd worden.</w:t>
      </w:r>
    </w:p>
    <w:p w:rsidR="00836191" w:rsidRDefault="00836191" w:rsidP="00836191">
      <w:r>
        <w:t>Omwille van man</w:t>
      </w:r>
      <w:r w:rsidR="000E41DF">
        <w:t>agement</w:t>
      </w:r>
      <w:r>
        <w:t xml:space="preserve">redenen moet de hervorming ook </w:t>
      </w:r>
      <w:r w:rsidRPr="009E0E6B">
        <w:rPr>
          <w:b/>
        </w:rPr>
        <w:t>financiële stabiliteit</w:t>
      </w:r>
      <w:r>
        <w:t xml:space="preserve"> voor ogen houden. Dit betekent het voorzien van voldoende middelen en een voldoende voorspelbaar budget dat, ook op niveau van het ziekenhuis, een meerjarenbegroting toelaat. De financiering wordt bij voorkeur prospectief (budget is op voorhand gekend), met een vereenvoudiging van de herzieningen ten opzichte van vandaag.  </w:t>
      </w:r>
    </w:p>
    <w:p w:rsidR="00852A09" w:rsidRDefault="003C2642">
      <w:r>
        <w:t>Het realiseren van een nieuw organisatiemodel, met name</w:t>
      </w:r>
      <w:r w:rsidR="001E585B">
        <w:t xml:space="preserve"> via</w:t>
      </w:r>
      <w:r>
        <w:t xml:space="preserve"> </w:t>
      </w:r>
      <w:r w:rsidR="00287AD1">
        <w:t>een</w:t>
      </w:r>
      <w:r>
        <w:t xml:space="preserve"> zorgstrategisch plan, vereist enkele belangrijke garanties op budgettair vlak. Het is nodig dat </w:t>
      </w:r>
      <w:r w:rsidRPr="00883640">
        <w:rPr>
          <w:b/>
        </w:rPr>
        <w:t>budgetbehoud</w:t>
      </w:r>
      <w:r>
        <w:t xml:space="preserve"> op niveau van het ziekenhuis en/of netwerk mogelijk wordt. Budgetbehoud betekent dat efficiëntiewinsten toekomen aan de actoren die daartoe bijdragen. </w:t>
      </w:r>
      <w:r w:rsidR="00CB4B3C">
        <w:t xml:space="preserve">Dit is een belangrijke incentive </w:t>
      </w:r>
      <w:r w:rsidR="00883640">
        <w:t xml:space="preserve">om tot daadwerkelijke samenwerking te komen en </w:t>
      </w:r>
      <w:r w:rsidR="00E345EB">
        <w:t>om</w:t>
      </w:r>
      <w:r w:rsidR="00883640">
        <w:t xml:space="preserve"> efficiënte bedrijfsvoering </w:t>
      </w:r>
      <w:r w:rsidR="00E345EB">
        <w:t>te stimuleren</w:t>
      </w:r>
      <w:r w:rsidR="00883640">
        <w:t>.</w:t>
      </w:r>
    </w:p>
    <w:p w:rsidR="00852A09" w:rsidRDefault="00883640">
      <w:r>
        <w:t xml:space="preserve">Er moet ook rekening gehouden worden met specifieke opdrachten, geografische uitzonderingen, … </w:t>
      </w:r>
      <w:r w:rsidRPr="000027B4">
        <w:t>Het Zorgstrategisch plan is</w:t>
      </w:r>
      <w:r>
        <w:t xml:space="preserve"> de basis om zulke </w:t>
      </w:r>
      <w:proofErr w:type="spellStart"/>
      <w:r>
        <w:t>specificiteiten</w:t>
      </w:r>
      <w:proofErr w:type="spellEnd"/>
      <w:r>
        <w:t xml:space="preserve"> te regelen.</w:t>
      </w:r>
      <w:r w:rsidR="00836191">
        <w:t xml:space="preserve"> </w:t>
      </w:r>
      <w:r w:rsidR="00882A30">
        <w:t>Ziekenhuizen moeten tot slot kunnen deelnemen aan innovaties – in de ruime zin van het woord. Het gaat om innovaties die een meerwaarde zijn voor de patiënt.</w:t>
      </w:r>
    </w:p>
    <w:p w:rsidR="00852A09" w:rsidRDefault="00852A09"/>
    <w:p w:rsidR="00F10C6D" w:rsidRDefault="00F10C6D"/>
    <w:p w:rsidR="004E1588" w:rsidRPr="001E585B" w:rsidRDefault="00AA3F14" w:rsidP="004E1588">
      <w:pPr>
        <w:jc w:val="center"/>
        <w:rPr>
          <w:b/>
          <w:i/>
        </w:rPr>
      </w:pPr>
      <w:r w:rsidRPr="001E585B">
        <w:rPr>
          <w:b/>
          <w:i/>
        </w:rPr>
        <w:t>De nieuwe financiering focust op een participatief model dat efficiëntie en kwaliteit nastreeft en sociaal ondernemerschap stimuleert binnen de krijtlijne</w:t>
      </w:r>
      <w:r w:rsidR="004E1588" w:rsidRPr="001E585B">
        <w:rPr>
          <w:b/>
          <w:i/>
        </w:rPr>
        <w:t>n van een zorgstrategisch plan.</w:t>
      </w:r>
    </w:p>
    <w:p w:rsidR="00852A09" w:rsidRDefault="00852A09"/>
    <w:p w:rsidR="006C1323" w:rsidRDefault="006C1323"/>
    <w:p w:rsidR="00852A09" w:rsidRDefault="00852A09"/>
    <w:tbl>
      <w:tblPr>
        <w:tblStyle w:val="Tabelraster"/>
        <w:tblW w:w="1087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366"/>
        <w:gridCol w:w="1513"/>
        <w:gridCol w:w="1375"/>
        <w:gridCol w:w="1223"/>
        <w:gridCol w:w="1327"/>
        <w:gridCol w:w="1701"/>
        <w:gridCol w:w="1375"/>
      </w:tblGrid>
      <w:tr w:rsidR="00DB7E14" w:rsidTr="009666CC">
        <w:tc>
          <w:tcPr>
            <w:tcW w:w="993" w:type="dxa"/>
          </w:tcPr>
          <w:p w:rsidR="00DB7E14" w:rsidRDefault="00DB7E14" w:rsidP="009666CC">
            <w:r w:rsidRPr="00852A09">
              <w:rPr>
                <w:noProof/>
                <w:lang w:eastAsia="nl-BE"/>
              </w:rPr>
              <w:drawing>
                <wp:inline distT="0" distB="0" distL="0" distR="0" wp14:anchorId="04A36B07" wp14:editId="0C4DA791">
                  <wp:extent cx="575945" cy="575945"/>
                  <wp:effectExtent l="0" t="0" r="0" b="0"/>
                  <wp:docPr id="103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8491" cy="578491"/>
                          </a:xfrm>
                          <a:prstGeom prst="rect">
                            <a:avLst/>
                          </a:prstGeom>
                          <a:noFill/>
                          <a:ln>
                            <a:noFill/>
                          </a:ln>
                          <a:extLst/>
                        </pic:spPr>
                      </pic:pic>
                    </a:graphicData>
                  </a:graphic>
                </wp:inline>
              </w:drawing>
            </w:r>
          </w:p>
        </w:tc>
        <w:tc>
          <w:tcPr>
            <w:tcW w:w="1366" w:type="dxa"/>
          </w:tcPr>
          <w:p w:rsidR="00DB7E14" w:rsidRDefault="00DB7E14" w:rsidP="009666CC">
            <w:pPr>
              <w:jc w:val="center"/>
            </w:pPr>
          </w:p>
          <w:p w:rsidR="00DB7E14" w:rsidRDefault="00DB7E14" w:rsidP="009666CC">
            <w:pPr>
              <w:jc w:val="center"/>
            </w:pPr>
            <w:r w:rsidRPr="00852A09">
              <w:rPr>
                <w:noProof/>
                <w:lang w:eastAsia="nl-BE"/>
              </w:rPr>
              <w:drawing>
                <wp:inline distT="0" distB="0" distL="0" distR="0" wp14:anchorId="1A22113F" wp14:editId="27FC4E80">
                  <wp:extent cx="643987" cy="347345"/>
                  <wp:effectExtent l="0" t="0" r="3810" b="0"/>
                  <wp:docPr id="9" name="Picture 2"/>
                  <wp:cNvGraphicFramePr/>
                  <a:graphic xmlns:a="http://schemas.openxmlformats.org/drawingml/2006/main">
                    <a:graphicData uri="http://schemas.openxmlformats.org/drawingml/2006/picture">
                      <pic:pic xmlns:pic="http://schemas.openxmlformats.org/drawingml/2006/picture">
                        <pic:nvPicPr>
                          <pic:cNvPr id="9" name="Picture 2"/>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994" cy="349506"/>
                          </a:xfrm>
                          <a:prstGeom prst="rect">
                            <a:avLst/>
                          </a:prstGeom>
                          <a:noFill/>
                          <a:ln>
                            <a:noFill/>
                          </a:ln>
                          <a:extLst/>
                        </pic:spPr>
                      </pic:pic>
                    </a:graphicData>
                  </a:graphic>
                </wp:inline>
              </w:drawing>
            </w:r>
          </w:p>
        </w:tc>
        <w:tc>
          <w:tcPr>
            <w:tcW w:w="1513" w:type="dxa"/>
          </w:tcPr>
          <w:p w:rsidR="00DB7E14" w:rsidRPr="00C12334" w:rsidRDefault="00DB7E14" w:rsidP="009666CC">
            <w:pPr>
              <w:rPr>
                <w:sz w:val="14"/>
              </w:rPr>
            </w:pPr>
          </w:p>
          <w:p w:rsidR="00DB7E14" w:rsidRDefault="00DB7E14" w:rsidP="009666CC">
            <w:r w:rsidRPr="00852A09">
              <w:rPr>
                <w:noProof/>
                <w:lang w:eastAsia="nl-BE"/>
              </w:rPr>
              <w:drawing>
                <wp:inline distT="0" distB="0" distL="0" distR="0" wp14:anchorId="155C3B68" wp14:editId="0E5FC599">
                  <wp:extent cx="823595" cy="463272"/>
                  <wp:effectExtent l="0" t="0" r="0" b="0"/>
                  <wp:docPr id="8" name="Picture 8" descr="\\fhpbsrv\cobeprive\INTERNE\Modèles documents\FHPB\LOGO FHPB Full HD.png"/>
                  <wp:cNvGraphicFramePr/>
                  <a:graphic xmlns:a="http://schemas.openxmlformats.org/drawingml/2006/main">
                    <a:graphicData uri="http://schemas.openxmlformats.org/drawingml/2006/picture">
                      <pic:pic xmlns:pic="http://schemas.openxmlformats.org/drawingml/2006/picture">
                        <pic:nvPicPr>
                          <pic:cNvPr id="8" name="Picture 8" descr="\\fhpbsrv\cobeprive\INTERNE\Modèles documents\FHPB\LOGO FHPB Full HD.pn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9405" cy="466540"/>
                          </a:xfrm>
                          <a:prstGeom prst="rect">
                            <a:avLst/>
                          </a:prstGeom>
                          <a:noFill/>
                          <a:ln>
                            <a:noFill/>
                          </a:ln>
                          <a:extLst/>
                        </pic:spPr>
                      </pic:pic>
                    </a:graphicData>
                  </a:graphic>
                </wp:inline>
              </w:drawing>
            </w:r>
          </w:p>
        </w:tc>
        <w:tc>
          <w:tcPr>
            <w:tcW w:w="1375" w:type="dxa"/>
          </w:tcPr>
          <w:p w:rsidR="00DB7E14" w:rsidRPr="00C12334" w:rsidRDefault="00DB7E14" w:rsidP="009666CC">
            <w:pPr>
              <w:rPr>
                <w:sz w:val="20"/>
              </w:rPr>
            </w:pPr>
          </w:p>
          <w:p w:rsidR="00DB7E14" w:rsidRDefault="00DB7E14" w:rsidP="009666CC">
            <w:r w:rsidRPr="00852A09">
              <w:rPr>
                <w:noProof/>
                <w:lang w:eastAsia="nl-BE"/>
              </w:rPr>
              <w:drawing>
                <wp:inline distT="0" distB="0" distL="0" distR="0" wp14:anchorId="0B2C36A2" wp14:editId="3A38933C">
                  <wp:extent cx="690007" cy="347345"/>
                  <wp:effectExtent l="0" t="0" r="0" b="0"/>
                  <wp:docPr id="10" name="Picture 2" descr="http://www.fihasbl.be/FIH-asbl/media/Media/Logo-FIH-asbl.jpg">
                    <a:hlinkClick xmlns:a="http://schemas.openxmlformats.org/drawingml/2006/main" r:id="rId17"/>
                  </wp:docPr>
                  <wp:cNvGraphicFramePr/>
                  <a:graphic xmlns:a="http://schemas.openxmlformats.org/drawingml/2006/main">
                    <a:graphicData uri="http://schemas.openxmlformats.org/drawingml/2006/picture">
                      <pic:pic xmlns:pic="http://schemas.openxmlformats.org/drawingml/2006/picture">
                        <pic:nvPicPr>
                          <pic:cNvPr id="10" name="Picture 2" descr="http://www.fihasbl.be/FIH-asbl/media/Media/Logo-FIH-asbl.jpg">
                            <a:hlinkClick r:id="rId17"/>
                          </pic:cNvPr>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7723" cy="351229"/>
                          </a:xfrm>
                          <a:prstGeom prst="rect">
                            <a:avLst/>
                          </a:prstGeom>
                          <a:noFill/>
                          <a:extLst/>
                        </pic:spPr>
                      </pic:pic>
                    </a:graphicData>
                  </a:graphic>
                </wp:inline>
              </w:drawing>
            </w:r>
          </w:p>
        </w:tc>
        <w:tc>
          <w:tcPr>
            <w:tcW w:w="1223" w:type="dxa"/>
          </w:tcPr>
          <w:p w:rsidR="00DB7E14" w:rsidRPr="00C12334" w:rsidRDefault="00DB7E14" w:rsidP="009666CC">
            <w:pPr>
              <w:rPr>
                <w:sz w:val="20"/>
              </w:rPr>
            </w:pPr>
          </w:p>
          <w:p w:rsidR="00DB7E14" w:rsidRDefault="00DB7E14" w:rsidP="009666CC">
            <w:r w:rsidRPr="00852A09">
              <w:rPr>
                <w:noProof/>
                <w:lang w:eastAsia="nl-BE"/>
              </w:rPr>
              <w:drawing>
                <wp:inline distT="0" distB="0" distL="0" distR="0" wp14:anchorId="277528FC" wp14:editId="54B20A43">
                  <wp:extent cx="680720" cy="376927"/>
                  <wp:effectExtent l="0" t="0" r="5080" b="4445"/>
                  <wp:docPr id="11" name="Picture 4" descr="http://www.ufenm.be/IMG/png/FNAMS_175_px_largeur_.png"/>
                  <wp:cNvGraphicFramePr/>
                  <a:graphic xmlns:a="http://schemas.openxmlformats.org/drawingml/2006/main">
                    <a:graphicData uri="http://schemas.openxmlformats.org/drawingml/2006/picture">
                      <pic:pic xmlns:pic="http://schemas.openxmlformats.org/drawingml/2006/picture">
                        <pic:nvPicPr>
                          <pic:cNvPr id="11" name="Picture 4" descr="http://www.ufenm.be/IMG/png/FNAMS_175_px_largeur_.pn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0167" cy="382158"/>
                          </a:xfrm>
                          <a:prstGeom prst="rect">
                            <a:avLst/>
                          </a:prstGeom>
                          <a:noFill/>
                          <a:extLst/>
                        </pic:spPr>
                      </pic:pic>
                    </a:graphicData>
                  </a:graphic>
                </wp:inline>
              </w:drawing>
            </w:r>
          </w:p>
        </w:tc>
        <w:tc>
          <w:tcPr>
            <w:tcW w:w="1327" w:type="dxa"/>
          </w:tcPr>
          <w:p w:rsidR="00DB7E14" w:rsidRDefault="00DB7E14" w:rsidP="009666CC">
            <w:pPr>
              <w:rPr>
                <w:sz w:val="14"/>
              </w:rPr>
            </w:pPr>
          </w:p>
          <w:p w:rsidR="00DB7E14" w:rsidRPr="00C12334" w:rsidRDefault="00DB7E14" w:rsidP="009666CC">
            <w:pPr>
              <w:rPr>
                <w:sz w:val="14"/>
              </w:rPr>
            </w:pPr>
            <w:r>
              <w:rPr>
                <w:noProof/>
                <w:color w:val="0000FF"/>
                <w:lang w:eastAsia="nl-BE"/>
              </w:rPr>
              <w:drawing>
                <wp:inline distT="0" distB="0" distL="0" distR="0" wp14:anchorId="4D408774" wp14:editId="3F99422F">
                  <wp:extent cx="795131" cy="483273"/>
                  <wp:effectExtent l="0" t="0" r="5080" b="0"/>
                  <wp:docPr id="1" name="Afbeelding 1" descr="http://www.gramma.be/sites/gramma.be/files/styles/project_detail_large/public/projects/g_icuro_logo_baseline_kleur_wit.jpg?itok=fgStRnpu">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ramma.be/sites/gramma.be/files/styles/project_detail_large/public/projects/g_icuro_logo_baseline_kleur_wit.jpg?itok=fgStRnpu">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8058" cy="485052"/>
                          </a:xfrm>
                          <a:prstGeom prst="rect">
                            <a:avLst/>
                          </a:prstGeom>
                          <a:noFill/>
                          <a:ln>
                            <a:noFill/>
                          </a:ln>
                        </pic:spPr>
                      </pic:pic>
                    </a:graphicData>
                  </a:graphic>
                </wp:inline>
              </w:drawing>
            </w:r>
          </w:p>
        </w:tc>
        <w:tc>
          <w:tcPr>
            <w:tcW w:w="1701" w:type="dxa"/>
          </w:tcPr>
          <w:p w:rsidR="00DB7E14" w:rsidRPr="00C12334" w:rsidRDefault="00DB7E14" w:rsidP="009666CC">
            <w:pPr>
              <w:rPr>
                <w:sz w:val="14"/>
              </w:rPr>
            </w:pPr>
          </w:p>
          <w:p w:rsidR="00DB7E14" w:rsidRDefault="00DB7E14" w:rsidP="009666CC">
            <w:r w:rsidRPr="00852A09">
              <w:rPr>
                <w:noProof/>
                <w:lang w:eastAsia="nl-BE"/>
              </w:rPr>
              <w:drawing>
                <wp:inline distT="0" distB="0" distL="0" distR="0" wp14:anchorId="758CE521" wp14:editId="393F1DF2">
                  <wp:extent cx="904496" cy="347345"/>
                  <wp:effectExtent l="0" t="0" r="0" b="0"/>
                  <wp:docPr id="7" name="Picture 3"/>
                  <wp:cNvGraphicFramePr/>
                  <a:graphic xmlns:a="http://schemas.openxmlformats.org/drawingml/2006/main">
                    <a:graphicData uri="http://schemas.openxmlformats.org/drawingml/2006/picture">
                      <pic:pic xmlns:pic="http://schemas.openxmlformats.org/drawingml/2006/picture">
                        <pic:nvPicPr>
                          <pic:cNvPr id="7" name="Picture 3"/>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9301" cy="349190"/>
                          </a:xfrm>
                          <a:prstGeom prst="rect">
                            <a:avLst/>
                          </a:prstGeom>
                          <a:noFill/>
                          <a:ln>
                            <a:noFill/>
                          </a:ln>
                          <a:extLst/>
                        </pic:spPr>
                      </pic:pic>
                    </a:graphicData>
                  </a:graphic>
                </wp:inline>
              </w:drawing>
            </w:r>
          </w:p>
        </w:tc>
        <w:tc>
          <w:tcPr>
            <w:tcW w:w="1375" w:type="dxa"/>
          </w:tcPr>
          <w:p w:rsidR="00DB7E14" w:rsidRDefault="00DB7E14" w:rsidP="009666CC">
            <w:r w:rsidRPr="00852A09">
              <w:rPr>
                <w:noProof/>
                <w:lang w:eastAsia="nl-BE"/>
              </w:rPr>
              <w:drawing>
                <wp:inline distT="0" distB="0" distL="0" distR="0" wp14:anchorId="456CA99A" wp14:editId="74B346DE">
                  <wp:extent cx="575945" cy="575945"/>
                  <wp:effectExtent l="0" t="0" r="0" b="0"/>
                  <wp:docPr id="1026" name="Picture 2" descr="Logo-handtekening-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handtekening-e-mai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8500" cy="578500"/>
                          </a:xfrm>
                          <a:prstGeom prst="rect">
                            <a:avLst/>
                          </a:prstGeom>
                          <a:noFill/>
                          <a:ln>
                            <a:noFill/>
                          </a:ln>
                          <a:extLst/>
                        </pic:spPr>
                      </pic:pic>
                    </a:graphicData>
                  </a:graphic>
                </wp:inline>
              </w:drawing>
            </w:r>
          </w:p>
        </w:tc>
      </w:tr>
    </w:tbl>
    <w:p w:rsidR="00852A09" w:rsidRDefault="00852A09"/>
    <w:sectPr w:rsidR="00852A09">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C4C" w:rsidRDefault="00E61C4C" w:rsidP="002D2AB7">
      <w:pPr>
        <w:spacing w:after="0" w:line="240" w:lineRule="auto"/>
      </w:pPr>
      <w:r>
        <w:separator/>
      </w:r>
    </w:p>
  </w:endnote>
  <w:endnote w:type="continuationSeparator" w:id="0">
    <w:p w:rsidR="00E61C4C" w:rsidRDefault="00E61C4C" w:rsidP="002D2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959330"/>
      <w:docPartObj>
        <w:docPartGallery w:val="Page Numbers (Bottom of Page)"/>
        <w:docPartUnique/>
      </w:docPartObj>
    </w:sdtPr>
    <w:sdtEndPr/>
    <w:sdtContent>
      <w:p w:rsidR="002D2AB7" w:rsidRDefault="002D2AB7">
        <w:pPr>
          <w:pStyle w:val="Voettekst"/>
          <w:jc w:val="right"/>
        </w:pPr>
        <w:r>
          <w:fldChar w:fldCharType="begin"/>
        </w:r>
        <w:r>
          <w:instrText>PAGE   \* MERGEFORMAT</w:instrText>
        </w:r>
        <w:r>
          <w:fldChar w:fldCharType="separate"/>
        </w:r>
        <w:r w:rsidR="00F10C6D" w:rsidRPr="00F10C6D">
          <w:rPr>
            <w:noProof/>
            <w:lang w:val="nl-NL"/>
          </w:rPr>
          <w:t>1</w:t>
        </w:r>
        <w:r>
          <w:fldChar w:fldCharType="end"/>
        </w:r>
      </w:p>
    </w:sdtContent>
  </w:sdt>
  <w:p w:rsidR="002D2AB7" w:rsidRDefault="002D2AB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C4C" w:rsidRDefault="00E61C4C" w:rsidP="002D2AB7">
      <w:pPr>
        <w:spacing w:after="0" w:line="240" w:lineRule="auto"/>
      </w:pPr>
      <w:r>
        <w:separator/>
      </w:r>
    </w:p>
  </w:footnote>
  <w:footnote w:type="continuationSeparator" w:id="0">
    <w:p w:rsidR="00E61C4C" w:rsidRDefault="00E61C4C" w:rsidP="002D2A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71C3"/>
    <w:multiLevelType w:val="hybridMultilevel"/>
    <w:tmpl w:val="0DF616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4319457B"/>
    <w:multiLevelType w:val="hybridMultilevel"/>
    <w:tmpl w:val="898683CC"/>
    <w:lvl w:ilvl="0" w:tplc="B700F2E2">
      <w:start w:val="1"/>
      <w:numFmt w:val="bullet"/>
      <w:lvlText w:val="•"/>
      <w:lvlJc w:val="left"/>
      <w:pPr>
        <w:tabs>
          <w:tab w:val="num" w:pos="720"/>
        </w:tabs>
        <w:ind w:left="720" w:hanging="360"/>
      </w:pPr>
      <w:rPr>
        <w:rFonts w:ascii="Times New Roman" w:hAnsi="Times New Roman" w:hint="default"/>
      </w:rPr>
    </w:lvl>
    <w:lvl w:ilvl="1" w:tplc="4AD0910E" w:tentative="1">
      <w:start w:val="1"/>
      <w:numFmt w:val="bullet"/>
      <w:lvlText w:val="•"/>
      <w:lvlJc w:val="left"/>
      <w:pPr>
        <w:tabs>
          <w:tab w:val="num" w:pos="1440"/>
        </w:tabs>
        <w:ind w:left="1440" w:hanging="360"/>
      </w:pPr>
      <w:rPr>
        <w:rFonts w:ascii="Times New Roman" w:hAnsi="Times New Roman" w:hint="default"/>
      </w:rPr>
    </w:lvl>
    <w:lvl w:ilvl="2" w:tplc="669E3EE8" w:tentative="1">
      <w:start w:val="1"/>
      <w:numFmt w:val="bullet"/>
      <w:lvlText w:val="•"/>
      <w:lvlJc w:val="left"/>
      <w:pPr>
        <w:tabs>
          <w:tab w:val="num" w:pos="2160"/>
        </w:tabs>
        <w:ind w:left="2160" w:hanging="360"/>
      </w:pPr>
      <w:rPr>
        <w:rFonts w:ascii="Times New Roman" w:hAnsi="Times New Roman" w:hint="default"/>
      </w:rPr>
    </w:lvl>
    <w:lvl w:ilvl="3" w:tplc="BADC2A54" w:tentative="1">
      <w:start w:val="1"/>
      <w:numFmt w:val="bullet"/>
      <w:lvlText w:val="•"/>
      <w:lvlJc w:val="left"/>
      <w:pPr>
        <w:tabs>
          <w:tab w:val="num" w:pos="2880"/>
        </w:tabs>
        <w:ind w:left="2880" w:hanging="360"/>
      </w:pPr>
      <w:rPr>
        <w:rFonts w:ascii="Times New Roman" w:hAnsi="Times New Roman" w:hint="default"/>
      </w:rPr>
    </w:lvl>
    <w:lvl w:ilvl="4" w:tplc="5CFA776A" w:tentative="1">
      <w:start w:val="1"/>
      <w:numFmt w:val="bullet"/>
      <w:lvlText w:val="•"/>
      <w:lvlJc w:val="left"/>
      <w:pPr>
        <w:tabs>
          <w:tab w:val="num" w:pos="3600"/>
        </w:tabs>
        <w:ind w:left="3600" w:hanging="360"/>
      </w:pPr>
      <w:rPr>
        <w:rFonts w:ascii="Times New Roman" w:hAnsi="Times New Roman" w:hint="default"/>
      </w:rPr>
    </w:lvl>
    <w:lvl w:ilvl="5" w:tplc="BD68C6EC" w:tentative="1">
      <w:start w:val="1"/>
      <w:numFmt w:val="bullet"/>
      <w:lvlText w:val="•"/>
      <w:lvlJc w:val="left"/>
      <w:pPr>
        <w:tabs>
          <w:tab w:val="num" w:pos="4320"/>
        </w:tabs>
        <w:ind w:left="4320" w:hanging="360"/>
      </w:pPr>
      <w:rPr>
        <w:rFonts w:ascii="Times New Roman" w:hAnsi="Times New Roman" w:hint="default"/>
      </w:rPr>
    </w:lvl>
    <w:lvl w:ilvl="6" w:tplc="054EDC26" w:tentative="1">
      <w:start w:val="1"/>
      <w:numFmt w:val="bullet"/>
      <w:lvlText w:val="•"/>
      <w:lvlJc w:val="left"/>
      <w:pPr>
        <w:tabs>
          <w:tab w:val="num" w:pos="5040"/>
        </w:tabs>
        <w:ind w:left="5040" w:hanging="360"/>
      </w:pPr>
      <w:rPr>
        <w:rFonts w:ascii="Times New Roman" w:hAnsi="Times New Roman" w:hint="default"/>
      </w:rPr>
    </w:lvl>
    <w:lvl w:ilvl="7" w:tplc="1618138C" w:tentative="1">
      <w:start w:val="1"/>
      <w:numFmt w:val="bullet"/>
      <w:lvlText w:val="•"/>
      <w:lvlJc w:val="left"/>
      <w:pPr>
        <w:tabs>
          <w:tab w:val="num" w:pos="5760"/>
        </w:tabs>
        <w:ind w:left="5760" w:hanging="360"/>
      </w:pPr>
      <w:rPr>
        <w:rFonts w:ascii="Times New Roman" w:hAnsi="Times New Roman" w:hint="default"/>
      </w:rPr>
    </w:lvl>
    <w:lvl w:ilvl="8" w:tplc="332A5A1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B7"/>
    <w:rsid w:val="000027B4"/>
    <w:rsid w:val="000122CB"/>
    <w:rsid w:val="0002203C"/>
    <w:rsid w:val="00094463"/>
    <w:rsid w:val="000974BB"/>
    <w:rsid w:val="000C650A"/>
    <w:rsid w:val="000E41DF"/>
    <w:rsid w:val="000F5D11"/>
    <w:rsid w:val="00103E40"/>
    <w:rsid w:val="00126C82"/>
    <w:rsid w:val="00136393"/>
    <w:rsid w:val="00145AC8"/>
    <w:rsid w:val="0016735B"/>
    <w:rsid w:val="001E585B"/>
    <w:rsid w:val="00254EB4"/>
    <w:rsid w:val="00282789"/>
    <w:rsid w:val="00287AD1"/>
    <w:rsid w:val="002D2AB7"/>
    <w:rsid w:val="00325EC2"/>
    <w:rsid w:val="003511E0"/>
    <w:rsid w:val="003702D0"/>
    <w:rsid w:val="003C2642"/>
    <w:rsid w:val="003F4596"/>
    <w:rsid w:val="00413310"/>
    <w:rsid w:val="004342BC"/>
    <w:rsid w:val="00440BBF"/>
    <w:rsid w:val="004B6860"/>
    <w:rsid w:val="004E1588"/>
    <w:rsid w:val="004E3B56"/>
    <w:rsid w:val="00527E2A"/>
    <w:rsid w:val="00554172"/>
    <w:rsid w:val="005A151A"/>
    <w:rsid w:val="005B34A0"/>
    <w:rsid w:val="005C410D"/>
    <w:rsid w:val="005D3E5A"/>
    <w:rsid w:val="0063671D"/>
    <w:rsid w:val="00656439"/>
    <w:rsid w:val="0068097A"/>
    <w:rsid w:val="006A0C6A"/>
    <w:rsid w:val="006C1323"/>
    <w:rsid w:val="006D26A9"/>
    <w:rsid w:val="006E573C"/>
    <w:rsid w:val="007837A1"/>
    <w:rsid w:val="007F2B68"/>
    <w:rsid w:val="007F7CDC"/>
    <w:rsid w:val="00811F13"/>
    <w:rsid w:val="00831D33"/>
    <w:rsid w:val="00834D95"/>
    <w:rsid w:val="00836191"/>
    <w:rsid w:val="00852A09"/>
    <w:rsid w:val="0086094C"/>
    <w:rsid w:val="00882A30"/>
    <w:rsid w:val="00883640"/>
    <w:rsid w:val="008839E8"/>
    <w:rsid w:val="009A1F58"/>
    <w:rsid w:val="009E0E6B"/>
    <w:rsid w:val="00A2271C"/>
    <w:rsid w:val="00A24ED2"/>
    <w:rsid w:val="00A54712"/>
    <w:rsid w:val="00AA23F8"/>
    <w:rsid w:val="00AA3F14"/>
    <w:rsid w:val="00AB7E28"/>
    <w:rsid w:val="00B577A0"/>
    <w:rsid w:val="00C12334"/>
    <w:rsid w:val="00C87F83"/>
    <w:rsid w:val="00CB4B3C"/>
    <w:rsid w:val="00CD437F"/>
    <w:rsid w:val="00CD6CBA"/>
    <w:rsid w:val="00D062A8"/>
    <w:rsid w:val="00D42B26"/>
    <w:rsid w:val="00DB7E14"/>
    <w:rsid w:val="00DE734E"/>
    <w:rsid w:val="00E10B7A"/>
    <w:rsid w:val="00E345EB"/>
    <w:rsid w:val="00E61C4C"/>
    <w:rsid w:val="00E723B0"/>
    <w:rsid w:val="00EF337C"/>
    <w:rsid w:val="00F10C6D"/>
    <w:rsid w:val="00F45F53"/>
    <w:rsid w:val="00F62C88"/>
    <w:rsid w:val="00F750EF"/>
    <w:rsid w:val="00F81125"/>
    <w:rsid w:val="00FA5342"/>
    <w:rsid w:val="00FA7E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D2A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2AB7"/>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2D2A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D2AB7"/>
    <w:rPr>
      <w:rFonts w:asciiTheme="majorHAnsi" w:eastAsiaTheme="majorEastAsia" w:hAnsiTheme="majorHAnsi" w:cstheme="majorBidi"/>
      <w:i/>
      <w:iCs/>
      <w:color w:val="4F81BD" w:themeColor="accent1"/>
      <w:spacing w:val="15"/>
      <w:sz w:val="24"/>
      <w:szCs w:val="24"/>
    </w:rPr>
  </w:style>
  <w:style w:type="paragraph" w:styleId="Koptekst">
    <w:name w:val="header"/>
    <w:basedOn w:val="Standaard"/>
    <w:link w:val="KoptekstChar"/>
    <w:uiPriority w:val="99"/>
    <w:unhideWhenUsed/>
    <w:rsid w:val="002D2A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2AB7"/>
  </w:style>
  <w:style w:type="paragraph" w:styleId="Voettekst">
    <w:name w:val="footer"/>
    <w:basedOn w:val="Standaard"/>
    <w:link w:val="VoettekstChar"/>
    <w:uiPriority w:val="99"/>
    <w:unhideWhenUsed/>
    <w:rsid w:val="002D2A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2AB7"/>
  </w:style>
  <w:style w:type="table" w:styleId="Tabelraster">
    <w:name w:val="Table Grid"/>
    <w:basedOn w:val="Standaardtabel"/>
    <w:uiPriority w:val="59"/>
    <w:rsid w:val="0085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52A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2A09"/>
    <w:rPr>
      <w:rFonts w:ascii="Tahoma" w:hAnsi="Tahoma" w:cs="Tahoma"/>
      <w:sz w:val="16"/>
      <w:szCs w:val="16"/>
    </w:rPr>
  </w:style>
  <w:style w:type="character" w:styleId="Subtielebenadrukking">
    <w:name w:val="Subtle Emphasis"/>
    <w:basedOn w:val="Standaardalinea-lettertype"/>
    <w:uiPriority w:val="19"/>
    <w:qFormat/>
    <w:rsid w:val="00CD437F"/>
    <w:rPr>
      <w:i/>
      <w:iCs/>
      <w:color w:val="808080" w:themeColor="text1" w:themeTint="7F"/>
    </w:rPr>
  </w:style>
  <w:style w:type="paragraph" w:styleId="Lijstalinea">
    <w:name w:val="List Paragraph"/>
    <w:basedOn w:val="Standaard"/>
    <w:uiPriority w:val="34"/>
    <w:qFormat/>
    <w:rsid w:val="003702D0"/>
    <w:pPr>
      <w:ind w:left="720"/>
      <w:contextualSpacing/>
    </w:pPr>
  </w:style>
  <w:style w:type="character" w:styleId="Intensievebenadrukking">
    <w:name w:val="Intense Emphasis"/>
    <w:basedOn w:val="Standaardalinea-lettertype"/>
    <w:uiPriority w:val="21"/>
    <w:qFormat/>
    <w:rsid w:val="007837A1"/>
    <w:rPr>
      <w:b/>
      <w:bCs/>
      <w:i/>
      <w:iCs/>
      <w:color w:val="4F81BD" w:themeColor="accent1"/>
    </w:rPr>
  </w:style>
  <w:style w:type="character" w:styleId="Verwijzingopmerking">
    <w:name w:val="annotation reference"/>
    <w:basedOn w:val="Standaardalinea-lettertype"/>
    <w:uiPriority w:val="99"/>
    <w:semiHidden/>
    <w:unhideWhenUsed/>
    <w:rsid w:val="00882A30"/>
    <w:rPr>
      <w:sz w:val="16"/>
      <w:szCs w:val="16"/>
    </w:rPr>
  </w:style>
  <w:style w:type="paragraph" w:styleId="Tekstopmerking">
    <w:name w:val="annotation text"/>
    <w:basedOn w:val="Standaard"/>
    <w:link w:val="TekstopmerkingChar"/>
    <w:uiPriority w:val="99"/>
    <w:semiHidden/>
    <w:unhideWhenUsed/>
    <w:rsid w:val="00882A3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2A30"/>
    <w:rPr>
      <w:sz w:val="20"/>
      <w:szCs w:val="20"/>
    </w:rPr>
  </w:style>
  <w:style w:type="paragraph" w:styleId="Onderwerpvanopmerking">
    <w:name w:val="annotation subject"/>
    <w:basedOn w:val="Tekstopmerking"/>
    <w:next w:val="Tekstopmerking"/>
    <w:link w:val="OnderwerpvanopmerkingChar"/>
    <w:uiPriority w:val="99"/>
    <w:semiHidden/>
    <w:unhideWhenUsed/>
    <w:rsid w:val="00882A30"/>
    <w:rPr>
      <w:b/>
      <w:bCs/>
    </w:rPr>
  </w:style>
  <w:style w:type="character" w:customStyle="1" w:styleId="OnderwerpvanopmerkingChar">
    <w:name w:val="Onderwerp van opmerking Char"/>
    <w:basedOn w:val="TekstopmerkingChar"/>
    <w:link w:val="Onderwerpvanopmerking"/>
    <w:uiPriority w:val="99"/>
    <w:semiHidden/>
    <w:rsid w:val="00882A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D2A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2AB7"/>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2D2A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D2AB7"/>
    <w:rPr>
      <w:rFonts w:asciiTheme="majorHAnsi" w:eastAsiaTheme="majorEastAsia" w:hAnsiTheme="majorHAnsi" w:cstheme="majorBidi"/>
      <w:i/>
      <w:iCs/>
      <w:color w:val="4F81BD" w:themeColor="accent1"/>
      <w:spacing w:val="15"/>
      <w:sz w:val="24"/>
      <w:szCs w:val="24"/>
    </w:rPr>
  </w:style>
  <w:style w:type="paragraph" w:styleId="Koptekst">
    <w:name w:val="header"/>
    <w:basedOn w:val="Standaard"/>
    <w:link w:val="KoptekstChar"/>
    <w:uiPriority w:val="99"/>
    <w:unhideWhenUsed/>
    <w:rsid w:val="002D2A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2AB7"/>
  </w:style>
  <w:style w:type="paragraph" w:styleId="Voettekst">
    <w:name w:val="footer"/>
    <w:basedOn w:val="Standaard"/>
    <w:link w:val="VoettekstChar"/>
    <w:uiPriority w:val="99"/>
    <w:unhideWhenUsed/>
    <w:rsid w:val="002D2A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2AB7"/>
  </w:style>
  <w:style w:type="table" w:styleId="Tabelraster">
    <w:name w:val="Table Grid"/>
    <w:basedOn w:val="Standaardtabel"/>
    <w:uiPriority w:val="59"/>
    <w:rsid w:val="0085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52A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2A09"/>
    <w:rPr>
      <w:rFonts w:ascii="Tahoma" w:hAnsi="Tahoma" w:cs="Tahoma"/>
      <w:sz w:val="16"/>
      <w:szCs w:val="16"/>
    </w:rPr>
  </w:style>
  <w:style w:type="character" w:styleId="Subtielebenadrukking">
    <w:name w:val="Subtle Emphasis"/>
    <w:basedOn w:val="Standaardalinea-lettertype"/>
    <w:uiPriority w:val="19"/>
    <w:qFormat/>
    <w:rsid w:val="00CD437F"/>
    <w:rPr>
      <w:i/>
      <w:iCs/>
      <w:color w:val="808080" w:themeColor="text1" w:themeTint="7F"/>
    </w:rPr>
  </w:style>
  <w:style w:type="paragraph" w:styleId="Lijstalinea">
    <w:name w:val="List Paragraph"/>
    <w:basedOn w:val="Standaard"/>
    <w:uiPriority w:val="34"/>
    <w:qFormat/>
    <w:rsid w:val="003702D0"/>
    <w:pPr>
      <w:ind w:left="720"/>
      <w:contextualSpacing/>
    </w:pPr>
  </w:style>
  <w:style w:type="character" w:styleId="Intensievebenadrukking">
    <w:name w:val="Intense Emphasis"/>
    <w:basedOn w:val="Standaardalinea-lettertype"/>
    <w:uiPriority w:val="21"/>
    <w:qFormat/>
    <w:rsid w:val="007837A1"/>
    <w:rPr>
      <w:b/>
      <w:bCs/>
      <w:i/>
      <w:iCs/>
      <w:color w:val="4F81BD" w:themeColor="accent1"/>
    </w:rPr>
  </w:style>
  <w:style w:type="character" w:styleId="Verwijzingopmerking">
    <w:name w:val="annotation reference"/>
    <w:basedOn w:val="Standaardalinea-lettertype"/>
    <w:uiPriority w:val="99"/>
    <w:semiHidden/>
    <w:unhideWhenUsed/>
    <w:rsid w:val="00882A30"/>
    <w:rPr>
      <w:sz w:val="16"/>
      <w:szCs w:val="16"/>
    </w:rPr>
  </w:style>
  <w:style w:type="paragraph" w:styleId="Tekstopmerking">
    <w:name w:val="annotation text"/>
    <w:basedOn w:val="Standaard"/>
    <w:link w:val="TekstopmerkingChar"/>
    <w:uiPriority w:val="99"/>
    <w:semiHidden/>
    <w:unhideWhenUsed/>
    <w:rsid w:val="00882A3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2A30"/>
    <w:rPr>
      <w:sz w:val="20"/>
      <w:szCs w:val="20"/>
    </w:rPr>
  </w:style>
  <w:style w:type="paragraph" w:styleId="Onderwerpvanopmerking">
    <w:name w:val="annotation subject"/>
    <w:basedOn w:val="Tekstopmerking"/>
    <w:next w:val="Tekstopmerking"/>
    <w:link w:val="OnderwerpvanopmerkingChar"/>
    <w:uiPriority w:val="99"/>
    <w:semiHidden/>
    <w:unhideWhenUsed/>
    <w:rsid w:val="00882A30"/>
    <w:rPr>
      <w:b/>
      <w:bCs/>
    </w:rPr>
  </w:style>
  <w:style w:type="character" w:customStyle="1" w:styleId="OnderwerpvanopmerkingChar">
    <w:name w:val="Onderwerp van opmerking Char"/>
    <w:basedOn w:val="TekstopmerkingChar"/>
    <w:link w:val="Onderwerpvanopmerking"/>
    <w:uiPriority w:val="99"/>
    <w:semiHidden/>
    <w:rsid w:val="00882A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95321">
      <w:bodyDiv w:val="1"/>
      <w:marLeft w:val="0"/>
      <w:marRight w:val="0"/>
      <w:marTop w:val="0"/>
      <w:marBottom w:val="0"/>
      <w:divBdr>
        <w:top w:val="none" w:sz="0" w:space="0" w:color="auto"/>
        <w:left w:val="none" w:sz="0" w:space="0" w:color="auto"/>
        <w:bottom w:val="none" w:sz="0" w:space="0" w:color="auto"/>
        <w:right w:val="none" w:sz="0" w:space="0" w:color="auto"/>
      </w:divBdr>
      <w:divsChild>
        <w:div w:id="12547025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www.fihasbl.be/Homepage.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google.be/url?sa=i&amp;rct=j&amp;q=&amp;esrc=s&amp;frm=1&amp;source=images&amp;cd=&amp;cad=rja&amp;uact=8&amp;ved=0CAcQjRw&amp;url=http://www.gramma.be/projecten/icuro-huisstijl&amp;ei=GlQ2VZG6EM7VPebggegH&amp;bvm=bv.91071109,d.ZWU&amp;psig=AFQjCNGIBg7VhrvcA781JnKq5u6UJjGXoA&amp;ust=1429710226498532"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8.jpeg"/><Relationship Id="rId28" Type="http://schemas.openxmlformats.org/officeDocument/2006/relationships/customXml" Target="../customXml/item3.xml"/><Relationship Id="rId10" Type="http://schemas.openxmlformats.org/officeDocument/2006/relationships/diagramLayout" Target="diagrams/layout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customXml" Target="../customXml/item2.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A21DE5-FF7D-4BE2-8BC5-5174E97C9302}" type="doc">
      <dgm:prSet loTypeId="urn:microsoft.com/office/officeart/2005/8/layout/venn1" loCatId="relationship" qsTypeId="urn:microsoft.com/office/officeart/2005/8/quickstyle/simple5" qsCatId="simple" csTypeId="urn:microsoft.com/office/officeart/2005/8/colors/colorful3" csCatId="colorful" phldr="1"/>
      <dgm:spPr/>
    </dgm:pt>
    <dgm:pt modelId="{92FF0DC7-16E2-4A9C-ACF0-7E4AB6243CC0}">
      <dgm:prSet phldrT="[Tekst]"/>
      <dgm:spPr/>
      <dgm:t>
        <a:bodyPr/>
        <a:lstStyle/>
        <a:p>
          <a:pPr algn="ctr"/>
          <a:r>
            <a:rPr lang="nl-BE"/>
            <a:t>Ziekenhuis</a:t>
          </a:r>
        </a:p>
        <a:p>
          <a:pPr algn="ctr"/>
          <a:r>
            <a:rPr lang="nl-BE"/>
            <a:t>landschap</a:t>
          </a:r>
        </a:p>
      </dgm:t>
    </dgm:pt>
    <dgm:pt modelId="{48CCFB73-E0D0-4AA6-BCF1-CBBE4985671F}" type="parTrans" cxnId="{23BFA2C3-E966-4DBE-8836-9032A645EA9D}">
      <dgm:prSet/>
      <dgm:spPr/>
      <dgm:t>
        <a:bodyPr/>
        <a:lstStyle/>
        <a:p>
          <a:pPr algn="ctr"/>
          <a:endParaRPr lang="nl-BE"/>
        </a:p>
      </dgm:t>
    </dgm:pt>
    <dgm:pt modelId="{A8A4EE0B-EB4F-4373-A9B4-97AAE7713685}" type="sibTrans" cxnId="{23BFA2C3-E966-4DBE-8836-9032A645EA9D}">
      <dgm:prSet/>
      <dgm:spPr/>
      <dgm:t>
        <a:bodyPr/>
        <a:lstStyle/>
        <a:p>
          <a:pPr algn="ctr"/>
          <a:endParaRPr lang="nl-BE"/>
        </a:p>
      </dgm:t>
    </dgm:pt>
    <dgm:pt modelId="{571C8719-A7FF-48E1-954E-0298641C0E2E}">
      <dgm:prSet phldrT="[Tekst]"/>
      <dgm:spPr/>
      <dgm:t>
        <a:bodyPr/>
        <a:lstStyle/>
        <a:p>
          <a:pPr algn="ctr"/>
          <a:r>
            <a:rPr lang="nl-BE"/>
            <a:t>Financiering</a:t>
          </a:r>
        </a:p>
      </dgm:t>
    </dgm:pt>
    <dgm:pt modelId="{56339768-0EF8-4951-9D09-87DA1FFBBB67}" type="parTrans" cxnId="{ADD5EE42-AFEF-40E0-87B8-E6C6A5920CF7}">
      <dgm:prSet/>
      <dgm:spPr/>
      <dgm:t>
        <a:bodyPr/>
        <a:lstStyle/>
        <a:p>
          <a:pPr algn="ctr"/>
          <a:endParaRPr lang="nl-BE"/>
        </a:p>
      </dgm:t>
    </dgm:pt>
    <dgm:pt modelId="{124C1AC0-A3E7-4B18-8973-EA4E4B4DD066}" type="sibTrans" cxnId="{ADD5EE42-AFEF-40E0-87B8-E6C6A5920CF7}">
      <dgm:prSet/>
      <dgm:spPr/>
      <dgm:t>
        <a:bodyPr/>
        <a:lstStyle/>
        <a:p>
          <a:pPr algn="ctr"/>
          <a:endParaRPr lang="nl-BE"/>
        </a:p>
      </dgm:t>
    </dgm:pt>
    <dgm:pt modelId="{22C99353-F96C-498E-96F5-8EC7D803EA3F}">
      <dgm:prSet phldrT="[Tekst]"/>
      <dgm:spPr/>
      <dgm:t>
        <a:bodyPr/>
        <a:lstStyle/>
        <a:p>
          <a:pPr algn="ctr"/>
          <a:r>
            <a:rPr lang="nl-BE"/>
            <a:t>Participatief</a:t>
          </a:r>
        </a:p>
        <a:p>
          <a:pPr algn="ctr"/>
          <a:r>
            <a:rPr lang="nl-BE"/>
            <a:t>model</a:t>
          </a:r>
        </a:p>
      </dgm:t>
    </dgm:pt>
    <dgm:pt modelId="{950C5F45-4361-4AFD-B514-8E7629A84C0B}" type="parTrans" cxnId="{3D7E1FDB-A6FF-40DB-B6E7-12C976362162}">
      <dgm:prSet/>
      <dgm:spPr/>
      <dgm:t>
        <a:bodyPr/>
        <a:lstStyle/>
        <a:p>
          <a:pPr algn="ctr"/>
          <a:endParaRPr lang="nl-BE"/>
        </a:p>
      </dgm:t>
    </dgm:pt>
    <dgm:pt modelId="{3E5D4C56-E2A4-4AEE-8307-FE7E0A83C328}" type="sibTrans" cxnId="{3D7E1FDB-A6FF-40DB-B6E7-12C976362162}">
      <dgm:prSet/>
      <dgm:spPr/>
      <dgm:t>
        <a:bodyPr/>
        <a:lstStyle/>
        <a:p>
          <a:pPr algn="ctr"/>
          <a:endParaRPr lang="nl-BE"/>
        </a:p>
      </dgm:t>
    </dgm:pt>
    <dgm:pt modelId="{F1716388-9B63-4BF2-B090-5512AA99C1BB}" type="pres">
      <dgm:prSet presAssocID="{38A21DE5-FF7D-4BE2-8BC5-5174E97C9302}" presName="compositeShape" presStyleCnt="0">
        <dgm:presLayoutVars>
          <dgm:chMax val="7"/>
          <dgm:dir/>
          <dgm:resizeHandles val="exact"/>
        </dgm:presLayoutVars>
      </dgm:prSet>
      <dgm:spPr/>
    </dgm:pt>
    <dgm:pt modelId="{8029B6D0-2F46-4326-8317-2F75625B2697}" type="pres">
      <dgm:prSet presAssocID="{92FF0DC7-16E2-4A9C-ACF0-7E4AB6243CC0}" presName="circ1" presStyleLbl="vennNode1" presStyleIdx="0" presStyleCnt="3"/>
      <dgm:spPr/>
      <dgm:t>
        <a:bodyPr/>
        <a:lstStyle/>
        <a:p>
          <a:endParaRPr lang="nl-BE"/>
        </a:p>
      </dgm:t>
    </dgm:pt>
    <dgm:pt modelId="{79FD3B83-28A9-4D26-B5CC-5724FEFD4018}" type="pres">
      <dgm:prSet presAssocID="{92FF0DC7-16E2-4A9C-ACF0-7E4AB6243CC0}" presName="circ1Tx" presStyleLbl="revTx" presStyleIdx="0" presStyleCnt="0">
        <dgm:presLayoutVars>
          <dgm:chMax val="0"/>
          <dgm:chPref val="0"/>
          <dgm:bulletEnabled val="1"/>
        </dgm:presLayoutVars>
      </dgm:prSet>
      <dgm:spPr/>
      <dgm:t>
        <a:bodyPr/>
        <a:lstStyle/>
        <a:p>
          <a:endParaRPr lang="nl-BE"/>
        </a:p>
      </dgm:t>
    </dgm:pt>
    <dgm:pt modelId="{8AEAF101-CA36-4D23-A88A-E32B4F6F0EC6}" type="pres">
      <dgm:prSet presAssocID="{571C8719-A7FF-48E1-954E-0298641C0E2E}" presName="circ2" presStyleLbl="vennNode1" presStyleIdx="1" presStyleCnt="3"/>
      <dgm:spPr/>
      <dgm:t>
        <a:bodyPr/>
        <a:lstStyle/>
        <a:p>
          <a:endParaRPr lang="nl-BE"/>
        </a:p>
      </dgm:t>
    </dgm:pt>
    <dgm:pt modelId="{9D6E7E81-B3C2-4A1D-B899-F8F5C16653B6}" type="pres">
      <dgm:prSet presAssocID="{571C8719-A7FF-48E1-954E-0298641C0E2E}" presName="circ2Tx" presStyleLbl="revTx" presStyleIdx="0" presStyleCnt="0">
        <dgm:presLayoutVars>
          <dgm:chMax val="0"/>
          <dgm:chPref val="0"/>
          <dgm:bulletEnabled val="1"/>
        </dgm:presLayoutVars>
      </dgm:prSet>
      <dgm:spPr/>
      <dgm:t>
        <a:bodyPr/>
        <a:lstStyle/>
        <a:p>
          <a:endParaRPr lang="nl-BE"/>
        </a:p>
      </dgm:t>
    </dgm:pt>
    <dgm:pt modelId="{28E83552-C0C8-4710-89E5-2AFC1A892D13}" type="pres">
      <dgm:prSet presAssocID="{22C99353-F96C-498E-96F5-8EC7D803EA3F}" presName="circ3" presStyleLbl="vennNode1" presStyleIdx="2" presStyleCnt="3"/>
      <dgm:spPr/>
      <dgm:t>
        <a:bodyPr/>
        <a:lstStyle/>
        <a:p>
          <a:endParaRPr lang="nl-BE"/>
        </a:p>
      </dgm:t>
    </dgm:pt>
    <dgm:pt modelId="{B9C85758-9C4B-44F7-A19D-890E9A68E4E7}" type="pres">
      <dgm:prSet presAssocID="{22C99353-F96C-498E-96F5-8EC7D803EA3F}" presName="circ3Tx" presStyleLbl="revTx" presStyleIdx="0" presStyleCnt="0">
        <dgm:presLayoutVars>
          <dgm:chMax val="0"/>
          <dgm:chPref val="0"/>
          <dgm:bulletEnabled val="1"/>
        </dgm:presLayoutVars>
      </dgm:prSet>
      <dgm:spPr/>
      <dgm:t>
        <a:bodyPr/>
        <a:lstStyle/>
        <a:p>
          <a:endParaRPr lang="nl-BE"/>
        </a:p>
      </dgm:t>
    </dgm:pt>
  </dgm:ptLst>
  <dgm:cxnLst>
    <dgm:cxn modelId="{ADD5EE42-AFEF-40E0-87B8-E6C6A5920CF7}" srcId="{38A21DE5-FF7D-4BE2-8BC5-5174E97C9302}" destId="{571C8719-A7FF-48E1-954E-0298641C0E2E}" srcOrd="1" destOrd="0" parTransId="{56339768-0EF8-4951-9D09-87DA1FFBBB67}" sibTransId="{124C1AC0-A3E7-4B18-8973-EA4E4B4DD066}"/>
    <dgm:cxn modelId="{9DD77899-20C0-446D-8FE6-F70017404901}" type="presOf" srcId="{22C99353-F96C-498E-96F5-8EC7D803EA3F}" destId="{28E83552-C0C8-4710-89E5-2AFC1A892D13}" srcOrd="0" destOrd="0" presId="urn:microsoft.com/office/officeart/2005/8/layout/venn1"/>
    <dgm:cxn modelId="{C78A7F38-1B41-4B82-8898-7C3F8AE8A147}" type="presOf" srcId="{571C8719-A7FF-48E1-954E-0298641C0E2E}" destId="{9D6E7E81-B3C2-4A1D-B899-F8F5C16653B6}" srcOrd="1" destOrd="0" presId="urn:microsoft.com/office/officeart/2005/8/layout/venn1"/>
    <dgm:cxn modelId="{8A195495-C631-4454-9F1C-372E95DF5897}" type="presOf" srcId="{92FF0DC7-16E2-4A9C-ACF0-7E4AB6243CC0}" destId="{79FD3B83-28A9-4D26-B5CC-5724FEFD4018}" srcOrd="1" destOrd="0" presId="urn:microsoft.com/office/officeart/2005/8/layout/venn1"/>
    <dgm:cxn modelId="{23BFA2C3-E966-4DBE-8836-9032A645EA9D}" srcId="{38A21DE5-FF7D-4BE2-8BC5-5174E97C9302}" destId="{92FF0DC7-16E2-4A9C-ACF0-7E4AB6243CC0}" srcOrd="0" destOrd="0" parTransId="{48CCFB73-E0D0-4AA6-BCF1-CBBE4985671F}" sibTransId="{A8A4EE0B-EB4F-4373-A9B4-97AAE7713685}"/>
    <dgm:cxn modelId="{F838FA6A-76A4-4D24-A234-4BA59DE5F546}" type="presOf" srcId="{38A21DE5-FF7D-4BE2-8BC5-5174E97C9302}" destId="{F1716388-9B63-4BF2-B090-5512AA99C1BB}" srcOrd="0" destOrd="0" presId="urn:microsoft.com/office/officeart/2005/8/layout/venn1"/>
    <dgm:cxn modelId="{7110901D-A75B-46B6-ADBB-002F3E4B9733}" type="presOf" srcId="{22C99353-F96C-498E-96F5-8EC7D803EA3F}" destId="{B9C85758-9C4B-44F7-A19D-890E9A68E4E7}" srcOrd="1" destOrd="0" presId="urn:microsoft.com/office/officeart/2005/8/layout/venn1"/>
    <dgm:cxn modelId="{3D7E1FDB-A6FF-40DB-B6E7-12C976362162}" srcId="{38A21DE5-FF7D-4BE2-8BC5-5174E97C9302}" destId="{22C99353-F96C-498E-96F5-8EC7D803EA3F}" srcOrd="2" destOrd="0" parTransId="{950C5F45-4361-4AFD-B514-8E7629A84C0B}" sibTransId="{3E5D4C56-E2A4-4AEE-8307-FE7E0A83C328}"/>
    <dgm:cxn modelId="{41C05BD3-093C-4201-A9DB-F7A12ED92743}" type="presOf" srcId="{92FF0DC7-16E2-4A9C-ACF0-7E4AB6243CC0}" destId="{8029B6D0-2F46-4326-8317-2F75625B2697}" srcOrd="0" destOrd="0" presId="urn:microsoft.com/office/officeart/2005/8/layout/venn1"/>
    <dgm:cxn modelId="{52A92F6E-2B1E-490B-A306-871DE9901B1B}" type="presOf" srcId="{571C8719-A7FF-48E1-954E-0298641C0E2E}" destId="{8AEAF101-CA36-4D23-A88A-E32B4F6F0EC6}" srcOrd="0" destOrd="0" presId="urn:microsoft.com/office/officeart/2005/8/layout/venn1"/>
    <dgm:cxn modelId="{A5D1A613-D628-4DA5-96DE-A1B021580929}" type="presParOf" srcId="{F1716388-9B63-4BF2-B090-5512AA99C1BB}" destId="{8029B6D0-2F46-4326-8317-2F75625B2697}" srcOrd="0" destOrd="0" presId="urn:microsoft.com/office/officeart/2005/8/layout/venn1"/>
    <dgm:cxn modelId="{3487E911-5CAA-4B90-BCDE-D1C7A323D935}" type="presParOf" srcId="{F1716388-9B63-4BF2-B090-5512AA99C1BB}" destId="{79FD3B83-28A9-4D26-B5CC-5724FEFD4018}" srcOrd="1" destOrd="0" presId="urn:microsoft.com/office/officeart/2005/8/layout/venn1"/>
    <dgm:cxn modelId="{1D813DAE-978F-4380-8A70-963BA4E067DB}" type="presParOf" srcId="{F1716388-9B63-4BF2-B090-5512AA99C1BB}" destId="{8AEAF101-CA36-4D23-A88A-E32B4F6F0EC6}" srcOrd="2" destOrd="0" presId="urn:microsoft.com/office/officeart/2005/8/layout/venn1"/>
    <dgm:cxn modelId="{9BD79AAA-01B5-423B-9D46-7578A6F9A5F5}" type="presParOf" srcId="{F1716388-9B63-4BF2-B090-5512AA99C1BB}" destId="{9D6E7E81-B3C2-4A1D-B899-F8F5C16653B6}" srcOrd="3" destOrd="0" presId="urn:microsoft.com/office/officeart/2005/8/layout/venn1"/>
    <dgm:cxn modelId="{0FD2AD7B-416B-4903-8696-BEEA6FF34912}" type="presParOf" srcId="{F1716388-9B63-4BF2-B090-5512AA99C1BB}" destId="{28E83552-C0C8-4710-89E5-2AFC1A892D13}" srcOrd="4" destOrd="0" presId="urn:microsoft.com/office/officeart/2005/8/layout/venn1"/>
    <dgm:cxn modelId="{E2F97454-388C-473B-A7E3-7C6E0CCCCEFD}" type="presParOf" srcId="{F1716388-9B63-4BF2-B090-5512AA99C1BB}" destId="{B9C85758-9C4B-44F7-A19D-890E9A68E4E7}" srcOrd="5"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29B6D0-2F46-4326-8317-2F75625B2697}">
      <dsp:nvSpPr>
        <dsp:cNvPr id="0" name=""/>
        <dsp:cNvSpPr/>
      </dsp:nvSpPr>
      <dsp:spPr>
        <a:xfrm>
          <a:off x="1389888" y="19281"/>
          <a:ext cx="925531" cy="925531"/>
        </a:xfrm>
        <a:prstGeom prst="ellipse">
          <a:avLst/>
        </a:prstGeom>
        <a:gradFill rotWithShape="0">
          <a:gsLst>
            <a:gs pos="0">
              <a:schemeClr val="accent3">
                <a:alpha val="50000"/>
                <a:hueOff val="0"/>
                <a:satOff val="0"/>
                <a:lumOff val="0"/>
                <a:alphaOff val="0"/>
                <a:shade val="51000"/>
                <a:satMod val="130000"/>
              </a:schemeClr>
            </a:gs>
            <a:gs pos="80000">
              <a:schemeClr val="accent3">
                <a:alpha val="50000"/>
                <a:hueOff val="0"/>
                <a:satOff val="0"/>
                <a:lumOff val="0"/>
                <a:alphaOff val="0"/>
                <a:shade val="93000"/>
                <a:satMod val="130000"/>
              </a:schemeClr>
            </a:gs>
            <a:gs pos="100000">
              <a:schemeClr val="accent3">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nl-BE" sz="800" kern="1200"/>
            <a:t>Ziekenhuis</a:t>
          </a:r>
        </a:p>
        <a:p>
          <a:pPr lvl="0" algn="ctr" defTabSz="355600">
            <a:lnSpc>
              <a:spcPct val="90000"/>
            </a:lnSpc>
            <a:spcBef>
              <a:spcPct val="0"/>
            </a:spcBef>
            <a:spcAft>
              <a:spcPct val="35000"/>
            </a:spcAft>
          </a:pPr>
          <a:r>
            <a:rPr lang="nl-BE" sz="800" kern="1200"/>
            <a:t>landschap</a:t>
          </a:r>
        </a:p>
      </dsp:txBody>
      <dsp:txXfrm>
        <a:off x="1513292" y="181249"/>
        <a:ext cx="678723" cy="416489"/>
      </dsp:txXfrm>
    </dsp:sp>
    <dsp:sp modelId="{8AEAF101-CA36-4D23-A88A-E32B4F6F0EC6}">
      <dsp:nvSpPr>
        <dsp:cNvPr id="0" name=""/>
        <dsp:cNvSpPr/>
      </dsp:nvSpPr>
      <dsp:spPr>
        <a:xfrm>
          <a:off x="1723850" y="597739"/>
          <a:ext cx="925531" cy="925531"/>
        </a:xfrm>
        <a:prstGeom prst="ellipse">
          <a:avLst/>
        </a:prstGeom>
        <a:gradFill rotWithShape="0">
          <a:gsLst>
            <a:gs pos="0">
              <a:schemeClr val="accent3">
                <a:alpha val="50000"/>
                <a:hueOff val="5625132"/>
                <a:satOff val="-8440"/>
                <a:lumOff val="-1373"/>
                <a:alphaOff val="0"/>
                <a:shade val="51000"/>
                <a:satMod val="130000"/>
              </a:schemeClr>
            </a:gs>
            <a:gs pos="80000">
              <a:schemeClr val="accent3">
                <a:alpha val="50000"/>
                <a:hueOff val="5625132"/>
                <a:satOff val="-8440"/>
                <a:lumOff val="-1373"/>
                <a:alphaOff val="0"/>
                <a:shade val="93000"/>
                <a:satMod val="130000"/>
              </a:schemeClr>
            </a:gs>
            <a:gs pos="100000">
              <a:schemeClr val="accent3">
                <a:alpha val="50000"/>
                <a:hueOff val="5625132"/>
                <a:satOff val="-8440"/>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nl-BE" sz="800" kern="1200"/>
            <a:t>Financiering</a:t>
          </a:r>
        </a:p>
      </dsp:txBody>
      <dsp:txXfrm>
        <a:off x="2006909" y="836835"/>
        <a:ext cx="555319" cy="509042"/>
      </dsp:txXfrm>
    </dsp:sp>
    <dsp:sp modelId="{28E83552-C0C8-4710-89E5-2AFC1A892D13}">
      <dsp:nvSpPr>
        <dsp:cNvPr id="0" name=""/>
        <dsp:cNvSpPr/>
      </dsp:nvSpPr>
      <dsp:spPr>
        <a:xfrm>
          <a:off x="1055925" y="597739"/>
          <a:ext cx="925531" cy="925531"/>
        </a:xfrm>
        <a:prstGeom prst="ellipse">
          <a:avLst/>
        </a:prstGeom>
        <a:gradFill rotWithShape="0">
          <a:gsLst>
            <a:gs pos="0">
              <a:schemeClr val="accent3">
                <a:alpha val="50000"/>
                <a:hueOff val="11250264"/>
                <a:satOff val="-16880"/>
                <a:lumOff val="-2745"/>
                <a:alphaOff val="0"/>
                <a:shade val="51000"/>
                <a:satMod val="130000"/>
              </a:schemeClr>
            </a:gs>
            <a:gs pos="80000">
              <a:schemeClr val="accent3">
                <a:alpha val="50000"/>
                <a:hueOff val="11250264"/>
                <a:satOff val="-16880"/>
                <a:lumOff val="-2745"/>
                <a:alphaOff val="0"/>
                <a:shade val="93000"/>
                <a:satMod val="130000"/>
              </a:schemeClr>
            </a:gs>
            <a:gs pos="100000">
              <a:schemeClr val="accent3">
                <a:alpha val="50000"/>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nl-BE" sz="800" kern="1200"/>
            <a:t>Participatief</a:t>
          </a:r>
        </a:p>
        <a:p>
          <a:pPr lvl="0" algn="ctr" defTabSz="355600">
            <a:lnSpc>
              <a:spcPct val="90000"/>
            </a:lnSpc>
            <a:spcBef>
              <a:spcPct val="0"/>
            </a:spcBef>
            <a:spcAft>
              <a:spcPct val="35000"/>
            </a:spcAft>
          </a:pPr>
          <a:r>
            <a:rPr lang="nl-BE" sz="800" kern="1200"/>
            <a:t>model</a:t>
          </a:r>
        </a:p>
      </dsp:txBody>
      <dsp:txXfrm>
        <a:off x="1143079" y="836835"/>
        <a:ext cx="555319" cy="50904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7386321AEE6C428DF9F98A0D5F60FC" ma:contentTypeVersion="1" ma:contentTypeDescription="Een nieuw document maken." ma:contentTypeScope="" ma:versionID="60b1ae5395d205a2389a2ffd2a77a78e">
  <xsd:schema xmlns:xsd="http://www.w3.org/2001/XMLSchema" xmlns:p="http://schemas.microsoft.com/office/2006/metadata/properties" xmlns:ns1="http://schemas.microsoft.com/sharepoint/v3" targetNamespace="http://schemas.microsoft.com/office/2006/metadata/properties" ma:root="true" ma:fieldsID="7010c10d0254ee8ef3054e93c51ef99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Begindatum van de planning" ma:internalName="PublishingStartDate">
      <xsd:simpleType>
        <xsd:restriction base="dms:Unknown"/>
      </xsd:simpleType>
    </xsd:element>
    <xsd:element name="PublishingExpirationDate" ma:index="9" nillable="true" ma:displayName="Einddatum van de plan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64BFB7-2FB7-4145-BA80-EDD591AEDEB9}"/>
</file>

<file path=customXml/itemProps2.xml><?xml version="1.0" encoding="utf-8"?>
<ds:datastoreItem xmlns:ds="http://schemas.openxmlformats.org/officeDocument/2006/customXml" ds:itemID="{C0F38B0B-9163-40F9-BF4D-EF3D2774253B}"/>
</file>

<file path=customXml/itemProps3.xml><?xml version="1.0" encoding="utf-8"?>
<ds:datastoreItem xmlns:ds="http://schemas.openxmlformats.org/officeDocument/2006/customXml" ds:itemID="{D77A0AE7-29BE-4A73-8E5B-4158E04E3255}"/>
</file>

<file path=customXml/itemProps4.xml><?xml version="1.0" encoding="utf-8"?>
<ds:datastoreItem xmlns:ds="http://schemas.openxmlformats.org/officeDocument/2006/customXml" ds:itemID="{41C5E3E1-4C17-45F2-9437-5787636891E9}"/>
</file>

<file path=docProps/app.xml><?xml version="1.0" encoding="utf-8"?>
<Properties xmlns="http://schemas.openxmlformats.org/officeDocument/2006/extended-properties" xmlns:vt="http://schemas.openxmlformats.org/officeDocument/2006/docPropsVTypes">
  <Template>Normal</Template>
  <TotalTime>20</TotalTime>
  <Pages>4</Pages>
  <Words>1328</Words>
  <Characters>7308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Zorgnet Vlaanderen</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Katrien Verschoren</dc:creator>
  <cp:lastModifiedBy>Katrien Verschoren</cp:lastModifiedBy>
  <cp:revision>5</cp:revision>
  <dcterms:created xsi:type="dcterms:W3CDTF">2015-04-22T08:03:00Z</dcterms:created>
  <dcterms:modified xsi:type="dcterms:W3CDTF">2015-04-23T08:18:00Z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0x010100CE7386321AEE6C428DF9F98A0D5F60FC</vt:lpwstr>
  </property>
</Properties>
</file>